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609C" w:rsidRPr="00E10B94" w:rsidRDefault="0065609C" w:rsidP="0065609C">
      <w:pPr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r w:rsidRPr="00E10B94">
        <w:rPr>
          <w:rFonts w:ascii="Arial" w:hAnsi="Arial" w:cs="Arial"/>
          <w:b/>
          <w:sz w:val="24"/>
          <w:szCs w:val="24"/>
        </w:rPr>
        <w:t xml:space="preserve">SZCZEGÓŁOWA SPECYFIKACJA TECHNICZNA WYKONANIA I ODBIORU </w:t>
      </w:r>
      <w:bookmarkEnd w:id="0"/>
      <w:r w:rsidRPr="00E10B94">
        <w:rPr>
          <w:rFonts w:ascii="Arial" w:hAnsi="Arial" w:cs="Arial"/>
          <w:b/>
          <w:sz w:val="24"/>
          <w:szCs w:val="24"/>
        </w:rPr>
        <w:t>ROBÓT BUDOWLANYCH</w:t>
      </w:r>
    </w:p>
    <w:p w:rsidR="0065609C" w:rsidRPr="00E10B94" w:rsidRDefault="0065609C" w:rsidP="0065609C">
      <w:pPr>
        <w:pStyle w:val="Nagwek7"/>
        <w:rPr>
          <w:rFonts w:ascii="Arial" w:hAnsi="Arial" w:cs="Arial"/>
        </w:rPr>
      </w:pPr>
      <w:bookmarkStart w:id="1" w:name="_Toc282411122"/>
      <w:bookmarkStart w:id="2" w:name="_Toc349899674"/>
      <w:r w:rsidRPr="00E10B94">
        <w:rPr>
          <w:rFonts w:ascii="Arial" w:hAnsi="Arial" w:cs="Arial"/>
        </w:rPr>
        <w:t>D – 05.03.05b   NAWIERZCHNIA  Z  BETONU ASFALTOWEGO. WARSTWA WIĄŻĄCA WG PN-EN</w:t>
      </w:r>
      <w:bookmarkEnd w:id="1"/>
      <w:bookmarkEnd w:id="2"/>
    </w:p>
    <w:p w:rsidR="0065609C" w:rsidRPr="00E10B94" w:rsidRDefault="0065609C" w:rsidP="0065609C">
      <w:pPr>
        <w:rPr>
          <w:rFonts w:ascii="Arial" w:hAnsi="Arial" w:cs="Arial"/>
          <w:b/>
        </w:rPr>
      </w:pPr>
    </w:p>
    <w:p w:rsidR="0065609C" w:rsidRPr="00E10B94" w:rsidRDefault="0065609C" w:rsidP="00E10B94">
      <w:pPr>
        <w:jc w:val="both"/>
        <w:rPr>
          <w:rFonts w:ascii="Arial" w:hAnsi="Arial" w:cs="Arial"/>
          <w:b/>
        </w:rPr>
      </w:pPr>
      <w:bookmarkStart w:id="3" w:name="_Toc237920699"/>
      <w:r w:rsidRPr="00E10B94">
        <w:rPr>
          <w:rFonts w:ascii="Arial" w:hAnsi="Arial" w:cs="Arial"/>
          <w:b/>
        </w:rPr>
        <w:t>1. WSTĘP</w:t>
      </w:r>
      <w:bookmarkEnd w:id="3"/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  <w:b/>
        </w:rPr>
        <w:t>1.1.</w:t>
      </w:r>
      <w:r w:rsidRPr="00E10B94">
        <w:rPr>
          <w:rFonts w:ascii="Arial" w:hAnsi="Arial" w:cs="Arial"/>
        </w:rPr>
        <w:t xml:space="preserve"> Przedmiot SSTWiORB</w:t>
      </w:r>
      <w:r w:rsidR="00E10B94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Przedmiotem niniejszej szczegółowej specyfikacji technicznej wykonania i odbioru robót budowlanych (SSTWiORB) są wymagania dotyczące wykonania i odbioru robót związanych z wykonaniem warstwy wiążącej  z betonu asfaltowego.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  <w:b/>
        </w:rPr>
        <w:t>1.2.</w:t>
      </w:r>
      <w:r w:rsidRPr="00E10B94">
        <w:rPr>
          <w:rFonts w:ascii="Arial" w:hAnsi="Arial" w:cs="Arial"/>
        </w:rPr>
        <w:t xml:space="preserve"> Zakres stosowania SSTWiORB</w:t>
      </w:r>
      <w:r w:rsidR="00E10B94">
        <w:rPr>
          <w:rFonts w:ascii="Arial" w:hAnsi="Arial" w:cs="Arial"/>
        </w:rPr>
        <w:t>.</w:t>
      </w:r>
    </w:p>
    <w:p w:rsidR="004739A3" w:rsidRPr="004739A3" w:rsidRDefault="0065609C" w:rsidP="00E10B94">
      <w:pPr>
        <w:jc w:val="both"/>
        <w:rPr>
          <w:rFonts w:ascii="Arial" w:hAnsi="Arial" w:cs="Arial"/>
          <w:b/>
        </w:rPr>
      </w:pPr>
      <w:r w:rsidRPr="00E10B94">
        <w:rPr>
          <w:rFonts w:ascii="Arial" w:hAnsi="Arial" w:cs="Arial"/>
        </w:rPr>
        <w:t>Szczegółowa specyfikacja techniczna wykonania i odbioru robót budowlanych (SSTWiORB) stanowi dokument przetargowy i kontraktowy przy realizacji zadania</w:t>
      </w:r>
      <w:r w:rsidR="00E10B94" w:rsidRPr="004739A3">
        <w:rPr>
          <w:rFonts w:ascii="Arial" w:hAnsi="Arial" w:cs="Arial"/>
          <w:b/>
        </w:rPr>
        <w:t xml:space="preserve">: </w:t>
      </w:r>
      <w:r w:rsidR="00E0189A">
        <w:rPr>
          <w:rFonts w:ascii="Arial" w:hAnsi="Arial" w:cs="Arial"/>
          <w:b/>
        </w:rPr>
        <w:t xml:space="preserve">Przebudowa </w:t>
      </w:r>
      <w:r w:rsidR="004739A3" w:rsidRPr="004739A3">
        <w:rPr>
          <w:rFonts w:ascii="Arial" w:hAnsi="Arial" w:cs="Arial"/>
          <w:b/>
        </w:rPr>
        <w:t xml:space="preserve"> drogi gminnej </w:t>
      </w:r>
      <w:r w:rsidR="00F35C1F">
        <w:rPr>
          <w:rFonts w:ascii="Arial" w:hAnsi="Arial" w:cs="Arial"/>
          <w:b/>
        </w:rPr>
        <w:t>zlokalizowanej na działce nr 294 , 413</w:t>
      </w:r>
      <w:r w:rsidR="00E0189A">
        <w:rPr>
          <w:rFonts w:ascii="Arial" w:hAnsi="Arial" w:cs="Arial"/>
          <w:b/>
        </w:rPr>
        <w:t xml:space="preserve"> obręb Modlikowice</w:t>
      </w:r>
      <w:r w:rsidR="004739A3" w:rsidRPr="004739A3">
        <w:rPr>
          <w:rFonts w:ascii="Arial" w:hAnsi="Arial" w:cs="Arial"/>
          <w:b/>
        </w:rPr>
        <w:t xml:space="preserve"> </w:t>
      </w:r>
      <w:r w:rsidR="004739A3" w:rsidRPr="004739A3">
        <w:rPr>
          <w:rFonts w:ascii="Arial" w:hAnsi="Arial" w:cs="Arial"/>
          <w:b/>
        </w:rPr>
        <w:tab/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  <w:b/>
        </w:rPr>
        <w:t>1.3.</w:t>
      </w:r>
      <w:r w:rsidRPr="00E10B94">
        <w:rPr>
          <w:rFonts w:ascii="Arial" w:hAnsi="Arial" w:cs="Arial"/>
        </w:rPr>
        <w:t xml:space="preserve"> Zakres robót objętych SSTWiORB</w:t>
      </w:r>
      <w:r w:rsidR="00E10B94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Ustalenia zawarte w niniejszej specyfikacji dotyczą zasad prowadzenia robót związanych</w:t>
      </w:r>
      <w:r w:rsidR="00E10B94">
        <w:rPr>
          <w:rFonts w:ascii="Arial" w:hAnsi="Arial" w:cs="Arial"/>
        </w:rPr>
        <w:br/>
      </w:r>
      <w:r w:rsidRPr="00E10B94">
        <w:rPr>
          <w:rFonts w:ascii="Arial" w:hAnsi="Arial" w:cs="Arial"/>
        </w:rPr>
        <w:t>z wykonaniem i odbiorem warstwy wiążącej z betonu asfaltowego wg PN-EN 13108-1:2010, WT-2 Nawierzchnie asfaltowe 2008 z mieszanki mineralno-asfaltowej dostarczonej od producenta oraz WT-2 2010 Mieszanki mineralno – asfaltowe Wymagania techniczne</w:t>
      </w:r>
      <w:r w:rsidR="00E10B94">
        <w:rPr>
          <w:rFonts w:ascii="Arial" w:hAnsi="Arial" w:cs="Arial"/>
        </w:rPr>
        <w:t>.</w:t>
      </w:r>
      <w:r w:rsidR="00E10B94">
        <w:rPr>
          <w:rFonts w:ascii="Arial" w:hAnsi="Arial" w:cs="Arial"/>
        </w:rPr>
        <w:br/>
      </w:r>
      <w:r w:rsidRPr="00E10B94">
        <w:rPr>
          <w:rFonts w:ascii="Arial" w:hAnsi="Arial" w:cs="Arial"/>
        </w:rPr>
        <w:t>W przypadku produkcji mieszanki mineralno-asfaltowej przez Wykonawcę dla potrzeb budowy, Wykonawca zobowiązany jest prowadzić Zakładową kontrolę produkcji (ZKP) zgodnie z WT-2.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  <w:b/>
        </w:rPr>
        <w:t>1.4.</w:t>
      </w:r>
      <w:r w:rsidRPr="00E10B94">
        <w:rPr>
          <w:rFonts w:ascii="Arial" w:hAnsi="Arial" w:cs="Arial"/>
        </w:rPr>
        <w:t xml:space="preserve"> Określenia podstawowe</w:t>
      </w:r>
      <w:r w:rsidR="00E10B94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  <w:b/>
        </w:rPr>
        <w:t xml:space="preserve">1.4.1. </w:t>
      </w:r>
      <w:r w:rsidRPr="00E10B94">
        <w:rPr>
          <w:rFonts w:ascii="Arial" w:hAnsi="Arial" w:cs="Arial"/>
        </w:rPr>
        <w:t>Nawierzchnia – konstrukcja składająca się z jednej lub kilku warstw służących</w:t>
      </w:r>
      <w:r w:rsidR="00E10B94">
        <w:rPr>
          <w:rFonts w:ascii="Arial" w:hAnsi="Arial" w:cs="Arial"/>
        </w:rPr>
        <w:br/>
      </w:r>
      <w:r w:rsidRPr="00E10B94">
        <w:rPr>
          <w:rFonts w:ascii="Arial" w:hAnsi="Arial" w:cs="Arial"/>
        </w:rPr>
        <w:t>do przejmowania i rozkładania obciążeń od ruchu pojazdów na podłoże.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  <w:b/>
        </w:rPr>
        <w:t xml:space="preserve">1.4.2. </w:t>
      </w:r>
      <w:r w:rsidRPr="00E10B94">
        <w:rPr>
          <w:rFonts w:ascii="Arial" w:hAnsi="Arial" w:cs="Arial"/>
        </w:rPr>
        <w:t>Warstwa wiążąca – warstwa nawierzchni między warstwą ścieralną a podbudową.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  <w:b/>
        </w:rPr>
        <w:t xml:space="preserve">1.4.3. </w:t>
      </w:r>
      <w:r w:rsidRPr="00E10B94">
        <w:rPr>
          <w:rFonts w:ascii="Arial" w:hAnsi="Arial" w:cs="Arial"/>
        </w:rPr>
        <w:t>Mieszanka mineralno-asfaltowa – mieszanka kruszyw i lepiszcza asfaltowego.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  <w:b/>
        </w:rPr>
        <w:t xml:space="preserve">1.4.4. </w:t>
      </w:r>
      <w:r w:rsidRPr="00E10B94">
        <w:rPr>
          <w:rFonts w:ascii="Arial" w:hAnsi="Arial" w:cs="Arial"/>
        </w:rPr>
        <w:t>Wymiar mieszanki mineralno-asfaltowej – określenie mieszanki mineralno-asfaltowej, wyróżniające tę mieszankę ze zbioru mieszanek tego samego typu ze względu na największy wymiar kruszywa, np. wymiar 11 lub 6.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  <w:b/>
        </w:rPr>
        <w:t xml:space="preserve">1.4.5. </w:t>
      </w:r>
      <w:r w:rsidRPr="00E10B94">
        <w:rPr>
          <w:rFonts w:ascii="Arial" w:hAnsi="Arial" w:cs="Arial"/>
        </w:rPr>
        <w:t>Beton asfaltowy – mieszanka mineralno-asfaltowa, w której kruszywo o uziarnieniu ciągłym lub nieciągłym tworzy strukturę wzajemnie klinującą się.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  <w:b/>
        </w:rPr>
        <w:t xml:space="preserve">1.4.6. </w:t>
      </w:r>
      <w:r w:rsidRPr="00E10B94">
        <w:rPr>
          <w:rFonts w:ascii="Arial" w:hAnsi="Arial" w:cs="Arial"/>
        </w:rPr>
        <w:t>Uziarnienie – skład ziarnowy kruszywa, wyrażony w procentach masy ziaren przechodzących przez określony zestaw sit.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  <w:b/>
        </w:rPr>
        <w:t xml:space="preserve">1.4.7. </w:t>
      </w:r>
      <w:r w:rsidRPr="00E10B94">
        <w:rPr>
          <w:rFonts w:ascii="Arial" w:hAnsi="Arial" w:cs="Arial"/>
        </w:rPr>
        <w:t>Wymiar kruszywa – wielkość ziaren kruszywa, określona przez dolny (d) i górny (D) wymiar sita.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  <w:b/>
        </w:rPr>
        <w:lastRenderedPageBreak/>
        <w:t xml:space="preserve">1.4.8. </w:t>
      </w:r>
      <w:r w:rsidRPr="00E10B94">
        <w:rPr>
          <w:rFonts w:ascii="Arial" w:hAnsi="Arial" w:cs="Arial"/>
        </w:rPr>
        <w:t xml:space="preserve">Kruszywo grube – kruszywo z ziaren o wymiarze: D ≤ </w:t>
      </w:r>
      <w:smartTag w:uri="urn:schemas-microsoft-com:office:smarttags" w:element="metricconverter">
        <w:smartTagPr>
          <w:attr w:name="ProductID" w:val="45 mm"/>
        </w:smartTagPr>
        <w:r w:rsidRPr="00E10B94">
          <w:rPr>
            <w:rFonts w:ascii="Arial" w:hAnsi="Arial" w:cs="Arial"/>
          </w:rPr>
          <w:t>45 mm</w:t>
        </w:r>
      </w:smartTag>
      <w:r w:rsidRPr="00E10B94">
        <w:rPr>
          <w:rFonts w:ascii="Arial" w:hAnsi="Arial" w:cs="Arial"/>
        </w:rPr>
        <w:t xml:space="preserve"> oraz d &gt; </w:t>
      </w:r>
      <w:smartTag w:uri="urn:schemas-microsoft-com:office:smarttags" w:element="metricconverter">
        <w:smartTagPr>
          <w:attr w:name="ProductID" w:val="2 mm"/>
        </w:smartTagPr>
        <w:r w:rsidRPr="00E10B94">
          <w:rPr>
            <w:rFonts w:ascii="Arial" w:hAnsi="Arial" w:cs="Arial"/>
          </w:rPr>
          <w:t>2 mm</w:t>
        </w:r>
      </w:smartTag>
      <w:r w:rsidRPr="00E10B94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  <w:b/>
        </w:rPr>
        <w:t xml:space="preserve">1.4.9. </w:t>
      </w:r>
      <w:r w:rsidRPr="00E10B94">
        <w:rPr>
          <w:rFonts w:ascii="Arial" w:hAnsi="Arial" w:cs="Arial"/>
        </w:rPr>
        <w:t xml:space="preserve">Kruszywo drobne – kruszywo z ziaren o wymiarze: D ≤ </w:t>
      </w:r>
      <w:smartTag w:uri="urn:schemas-microsoft-com:office:smarttags" w:element="metricconverter">
        <w:smartTagPr>
          <w:attr w:name="ProductID" w:val="2 mm"/>
        </w:smartTagPr>
        <w:r w:rsidRPr="00E10B94">
          <w:rPr>
            <w:rFonts w:ascii="Arial" w:hAnsi="Arial" w:cs="Arial"/>
          </w:rPr>
          <w:t>2 mm</w:t>
        </w:r>
      </w:smartTag>
      <w:r w:rsidRPr="00E10B94">
        <w:rPr>
          <w:rFonts w:ascii="Arial" w:hAnsi="Arial" w:cs="Arial"/>
        </w:rPr>
        <w:t xml:space="preserve">, którego większa część pozostaje na sicie </w:t>
      </w:r>
      <w:smartTag w:uri="urn:schemas-microsoft-com:office:smarttags" w:element="metricconverter">
        <w:smartTagPr>
          <w:attr w:name="ProductID" w:val="0,063 mm"/>
        </w:smartTagPr>
        <w:r w:rsidRPr="00E10B94">
          <w:rPr>
            <w:rFonts w:ascii="Arial" w:hAnsi="Arial" w:cs="Arial"/>
          </w:rPr>
          <w:t>0,063 mm</w:t>
        </w:r>
      </w:smartTag>
      <w:r w:rsidRPr="00E10B94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  <w:b/>
        </w:rPr>
        <w:t xml:space="preserve">1.4.10. </w:t>
      </w:r>
      <w:r w:rsidRPr="00E10B94">
        <w:rPr>
          <w:rFonts w:ascii="Arial" w:hAnsi="Arial" w:cs="Arial"/>
        </w:rPr>
        <w:t xml:space="preserve">Pył – kruszywo z ziaren przechodzących przez sito </w:t>
      </w:r>
      <w:smartTag w:uri="urn:schemas-microsoft-com:office:smarttags" w:element="metricconverter">
        <w:smartTagPr>
          <w:attr w:name="ProductID" w:val="0,063 mm"/>
        </w:smartTagPr>
        <w:r w:rsidRPr="00E10B94">
          <w:rPr>
            <w:rFonts w:ascii="Arial" w:hAnsi="Arial" w:cs="Arial"/>
          </w:rPr>
          <w:t>0,063 mm</w:t>
        </w:r>
      </w:smartTag>
      <w:r w:rsidRPr="00E10B94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  <w:b/>
        </w:rPr>
        <w:t xml:space="preserve">1.4.11. </w:t>
      </w:r>
      <w:r w:rsidRPr="00E10B94">
        <w:rPr>
          <w:rFonts w:ascii="Arial" w:hAnsi="Arial" w:cs="Arial"/>
        </w:rPr>
        <w:t xml:space="preserve">Wypełniacz – kruszywo, którego większa część przechodzi przez sito </w:t>
      </w:r>
      <w:smartTag w:uri="urn:schemas-microsoft-com:office:smarttags" w:element="metricconverter">
        <w:smartTagPr>
          <w:attr w:name="ProductID" w:val="0,063 mm"/>
        </w:smartTagPr>
        <w:r w:rsidRPr="00E10B94">
          <w:rPr>
            <w:rFonts w:ascii="Arial" w:hAnsi="Arial" w:cs="Arial"/>
          </w:rPr>
          <w:t>0,063 mm</w:t>
        </w:r>
      </w:smartTag>
      <w:r w:rsidRPr="00E10B94">
        <w:rPr>
          <w:rFonts w:ascii="Arial" w:hAnsi="Arial" w:cs="Arial"/>
        </w:rPr>
        <w:t>. (Wypełniacz mieszany – kruszywo, które składa się z wypełniacza pochodzenia mineralnego i wodorotlenku wapnia. Wypełniacz dodany – wypełniacz pochodzenia mineralnego, wyprodukowany oddzielnie).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  <w:b/>
        </w:rPr>
        <w:t xml:space="preserve">1.4.12. </w:t>
      </w:r>
      <w:r w:rsidRPr="00E10B94">
        <w:rPr>
          <w:rFonts w:ascii="Arial" w:hAnsi="Arial" w:cs="Arial"/>
        </w:rPr>
        <w:t>Kationowa emulsja asfaltowa – emulsja, w której emulgator nadaje dodatnie ładunki cząstkom zdyspergowanego asfaltu.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  <w:b/>
        </w:rPr>
        <w:t xml:space="preserve">1.4.13. </w:t>
      </w:r>
      <w:r w:rsidRPr="00E10B94">
        <w:rPr>
          <w:rFonts w:ascii="Arial" w:hAnsi="Arial" w:cs="Arial"/>
        </w:rPr>
        <w:t>Pozostałe określenia podstawowe są zgodne z obowiązującymi, odpowiednimi polskimi normami i z definicjami podanymi w SSTWiORB D-M-00.00.00 „Wymagania ogólne” pkt 1.4.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2E4614">
        <w:rPr>
          <w:rFonts w:ascii="Arial" w:hAnsi="Arial" w:cs="Arial"/>
          <w:b/>
        </w:rPr>
        <w:t>1.5.</w:t>
      </w:r>
      <w:r w:rsidRPr="00E10B94">
        <w:rPr>
          <w:rFonts w:ascii="Arial" w:hAnsi="Arial" w:cs="Arial"/>
        </w:rPr>
        <w:t xml:space="preserve"> Ogólne wymagania dotyczące robót</w:t>
      </w:r>
      <w:r w:rsidR="002E4614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Ogólne wymagania dotyczące robót podano w SSTWiORB D-M-00.00.00 „Wymagania ogólne” pkt 1.5.</w:t>
      </w:r>
      <w:bookmarkStart w:id="4" w:name="_Toc237920700"/>
    </w:p>
    <w:p w:rsidR="0065609C" w:rsidRPr="002E4614" w:rsidRDefault="0065609C" w:rsidP="00E10B94">
      <w:pPr>
        <w:jc w:val="both"/>
        <w:rPr>
          <w:rFonts w:ascii="Arial" w:hAnsi="Arial" w:cs="Arial"/>
          <w:b/>
        </w:rPr>
      </w:pPr>
      <w:r w:rsidRPr="002E4614">
        <w:rPr>
          <w:rFonts w:ascii="Arial" w:hAnsi="Arial" w:cs="Arial"/>
          <w:b/>
        </w:rPr>
        <w:t>2. MATERIAŁY</w:t>
      </w:r>
      <w:bookmarkEnd w:id="4"/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2E4614">
        <w:rPr>
          <w:rFonts w:ascii="Arial" w:hAnsi="Arial" w:cs="Arial"/>
          <w:b/>
        </w:rPr>
        <w:t>2.1.</w:t>
      </w:r>
      <w:r w:rsidRPr="00E10B94">
        <w:rPr>
          <w:rFonts w:ascii="Arial" w:hAnsi="Arial" w:cs="Arial"/>
        </w:rPr>
        <w:t xml:space="preserve"> Ogólne wymagania dotyczące materiałów</w:t>
      </w:r>
      <w:r w:rsidR="002E4614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Ogólne wymagania dotyczące materiałów, ich pozyskiwania i składowania, podano</w:t>
      </w:r>
      <w:r w:rsidR="002E4614">
        <w:rPr>
          <w:rFonts w:ascii="Arial" w:hAnsi="Arial" w:cs="Arial"/>
        </w:rPr>
        <w:br/>
      </w:r>
      <w:r w:rsidRPr="00E10B94">
        <w:rPr>
          <w:rFonts w:ascii="Arial" w:hAnsi="Arial" w:cs="Arial"/>
        </w:rPr>
        <w:t xml:space="preserve">w SSTWiORB D-M-00.00.00 „Wymagania ogólne” pkt 2. Warstwę wiążącą zaprojektowano dla </w:t>
      </w:r>
      <w:r w:rsidRPr="0025471F">
        <w:rPr>
          <w:rFonts w:ascii="Arial" w:hAnsi="Arial" w:cs="Arial"/>
        </w:rPr>
        <w:t>kategorii ruchu KR</w:t>
      </w:r>
      <w:r w:rsidR="0025471F" w:rsidRPr="0025471F">
        <w:rPr>
          <w:rFonts w:ascii="Arial" w:hAnsi="Arial" w:cs="Arial"/>
        </w:rPr>
        <w:t>2</w:t>
      </w:r>
      <w:r w:rsidR="0025471F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BA28B2">
        <w:rPr>
          <w:rFonts w:ascii="Arial" w:hAnsi="Arial" w:cs="Arial"/>
          <w:b/>
        </w:rPr>
        <w:t>2.2.</w:t>
      </w:r>
      <w:r w:rsidRPr="00E10B94">
        <w:rPr>
          <w:rFonts w:ascii="Arial" w:hAnsi="Arial" w:cs="Arial"/>
        </w:rPr>
        <w:t xml:space="preserve"> Lepiszcza asfaltowe</w:t>
      </w:r>
      <w:r w:rsidR="00BA28B2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 xml:space="preserve">Należy stosować asfalty drogowe 35/50 wg PN-EN 12591:2010 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 xml:space="preserve">Asfalty drogowe powinny spełniać wymagania podane w tablicy 1. 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 xml:space="preserve">Tablica 1. Wymagania wobec asfaltów drogowych wg PN-EN 12591:2010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4110"/>
        <w:gridCol w:w="851"/>
        <w:gridCol w:w="2070"/>
        <w:gridCol w:w="1559"/>
      </w:tblGrid>
      <w:tr w:rsidR="0065609C" w:rsidRPr="00E10B94" w:rsidTr="00BA28B2">
        <w:trPr>
          <w:trHeight w:val="490"/>
        </w:trPr>
        <w:tc>
          <w:tcPr>
            <w:tcW w:w="534" w:type="dxa"/>
            <w:vAlign w:val="center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Lp.</w:t>
            </w:r>
          </w:p>
        </w:tc>
        <w:tc>
          <w:tcPr>
            <w:tcW w:w="4961" w:type="dxa"/>
            <w:gridSpan w:val="2"/>
            <w:vAlign w:val="center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Właściwości</w:t>
            </w:r>
          </w:p>
        </w:tc>
        <w:tc>
          <w:tcPr>
            <w:tcW w:w="2070" w:type="dxa"/>
            <w:vAlign w:val="center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Metoda</w:t>
            </w: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badania</w:t>
            </w:r>
          </w:p>
        </w:tc>
        <w:tc>
          <w:tcPr>
            <w:tcW w:w="1559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Wymagania</w:t>
            </w:r>
          </w:p>
        </w:tc>
      </w:tr>
      <w:tr w:rsidR="0065609C" w:rsidRPr="00E10B94" w:rsidTr="00BA28B2">
        <w:tc>
          <w:tcPr>
            <w:tcW w:w="9124" w:type="dxa"/>
            <w:gridSpan w:val="5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WŁAŚCIWOŚCI   OBLIGATORYJNE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 xml:space="preserve">Penetracja w </w:t>
            </w:r>
            <w:smartTag w:uri="urn:schemas-microsoft-com:office:smarttags" w:element="metricconverter">
              <w:smartTagPr>
                <w:attr w:name="ProductID" w:val="25ﾰC"/>
              </w:smartTagPr>
              <w:r w:rsidRPr="00E10B94">
                <w:rPr>
                  <w:rFonts w:ascii="Arial" w:hAnsi="Arial" w:cs="Arial"/>
                </w:rPr>
                <w:t>25°C</w:t>
              </w:r>
            </w:smartTag>
          </w:p>
        </w:tc>
        <w:tc>
          <w:tcPr>
            <w:tcW w:w="85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smartTag w:uri="urn:schemas-microsoft-com:office:smarttags" w:element="metricconverter">
              <w:smartTagPr>
                <w:attr w:name="ProductID" w:val="0,1 mm"/>
              </w:smartTagPr>
              <w:r w:rsidRPr="00E10B94">
                <w:rPr>
                  <w:rFonts w:ascii="Arial" w:hAnsi="Arial" w:cs="Arial"/>
                </w:rPr>
                <w:t>0,1 mm</w:t>
              </w:r>
            </w:smartTag>
          </w:p>
        </w:tc>
        <w:tc>
          <w:tcPr>
            <w:tcW w:w="2070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 xml:space="preserve">PN-EN 1426:2009 </w:t>
            </w:r>
          </w:p>
        </w:tc>
        <w:tc>
          <w:tcPr>
            <w:tcW w:w="1559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35÷50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Temperatura mięknienia</w:t>
            </w:r>
          </w:p>
        </w:tc>
        <w:tc>
          <w:tcPr>
            <w:tcW w:w="85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°C</w:t>
            </w:r>
          </w:p>
        </w:tc>
        <w:tc>
          <w:tcPr>
            <w:tcW w:w="2070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 xml:space="preserve">PN-EN 1427:2009 </w:t>
            </w:r>
          </w:p>
        </w:tc>
        <w:tc>
          <w:tcPr>
            <w:tcW w:w="1559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50÷58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Temperatura zapłonu, nie mniej niż</w:t>
            </w:r>
          </w:p>
        </w:tc>
        <w:tc>
          <w:tcPr>
            <w:tcW w:w="85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°C</w:t>
            </w:r>
          </w:p>
        </w:tc>
        <w:tc>
          <w:tcPr>
            <w:tcW w:w="2070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12592:2009</w:t>
            </w:r>
          </w:p>
        </w:tc>
        <w:tc>
          <w:tcPr>
            <w:tcW w:w="1559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240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lastRenderedPageBreak/>
              <w:t>4</w:t>
            </w:r>
          </w:p>
        </w:tc>
        <w:tc>
          <w:tcPr>
            <w:tcW w:w="4110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Zawartość składników rozpuszczalnych, nie mniej niż</w:t>
            </w:r>
          </w:p>
        </w:tc>
        <w:tc>
          <w:tcPr>
            <w:tcW w:w="85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% m/m</w:t>
            </w:r>
          </w:p>
        </w:tc>
        <w:tc>
          <w:tcPr>
            <w:tcW w:w="2070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12592:2009</w:t>
            </w:r>
          </w:p>
        </w:tc>
        <w:tc>
          <w:tcPr>
            <w:tcW w:w="1559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99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 xml:space="preserve">Zmiana masy po starzeniu (ubytek lub przyrost), </w:t>
            </w: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nie więcej niż</w:t>
            </w:r>
          </w:p>
        </w:tc>
        <w:tc>
          <w:tcPr>
            <w:tcW w:w="85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% m/m</w:t>
            </w:r>
          </w:p>
        </w:tc>
        <w:tc>
          <w:tcPr>
            <w:tcW w:w="2070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12607-1:2009</w:t>
            </w:r>
          </w:p>
        </w:tc>
        <w:tc>
          <w:tcPr>
            <w:tcW w:w="1559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0,5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Pozostała penetracja po starzeniu, nie mniej niż</w:t>
            </w:r>
          </w:p>
        </w:tc>
        <w:tc>
          <w:tcPr>
            <w:tcW w:w="85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%</w:t>
            </w:r>
          </w:p>
        </w:tc>
        <w:tc>
          <w:tcPr>
            <w:tcW w:w="2070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1426:2009</w:t>
            </w:r>
          </w:p>
        </w:tc>
        <w:tc>
          <w:tcPr>
            <w:tcW w:w="1559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53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Temperatura mięknienia po starzeniu, nie mniej niż</w:t>
            </w:r>
          </w:p>
        </w:tc>
        <w:tc>
          <w:tcPr>
            <w:tcW w:w="85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°C</w:t>
            </w:r>
          </w:p>
        </w:tc>
        <w:tc>
          <w:tcPr>
            <w:tcW w:w="2070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1427:2009</w:t>
            </w:r>
          </w:p>
        </w:tc>
        <w:tc>
          <w:tcPr>
            <w:tcW w:w="1559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52</w:t>
            </w:r>
          </w:p>
        </w:tc>
      </w:tr>
      <w:tr w:rsidR="0065609C" w:rsidRPr="00E10B94" w:rsidTr="00BA28B2">
        <w:tc>
          <w:tcPr>
            <w:tcW w:w="9124" w:type="dxa"/>
            <w:gridSpan w:val="5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WŁAŚCIWOŚCI   SPECJALNE   KRAJOWE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8</w:t>
            </w:r>
          </w:p>
        </w:tc>
        <w:tc>
          <w:tcPr>
            <w:tcW w:w="4110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Zawartość parafiny, nie więcej niż</w:t>
            </w:r>
          </w:p>
        </w:tc>
        <w:tc>
          <w:tcPr>
            <w:tcW w:w="85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%</w:t>
            </w:r>
          </w:p>
        </w:tc>
        <w:tc>
          <w:tcPr>
            <w:tcW w:w="2070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12606-1:2009</w:t>
            </w:r>
          </w:p>
        </w:tc>
        <w:tc>
          <w:tcPr>
            <w:tcW w:w="1559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2,2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Wzrost temp. mięknienia po starzeniu, nie więcej niż</w:t>
            </w:r>
          </w:p>
        </w:tc>
        <w:tc>
          <w:tcPr>
            <w:tcW w:w="85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°C</w:t>
            </w:r>
          </w:p>
        </w:tc>
        <w:tc>
          <w:tcPr>
            <w:tcW w:w="2070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1427:2009</w:t>
            </w:r>
          </w:p>
        </w:tc>
        <w:tc>
          <w:tcPr>
            <w:tcW w:w="1559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8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10</w:t>
            </w:r>
          </w:p>
        </w:tc>
        <w:tc>
          <w:tcPr>
            <w:tcW w:w="4110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Temperatura łamliwości Fraassa, nie więcej niż</w:t>
            </w:r>
          </w:p>
        </w:tc>
        <w:tc>
          <w:tcPr>
            <w:tcW w:w="85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°C</w:t>
            </w:r>
          </w:p>
        </w:tc>
        <w:tc>
          <w:tcPr>
            <w:tcW w:w="2070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12593:2009</w:t>
            </w:r>
          </w:p>
        </w:tc>
        <w:tc>
          <w:tcPr>
            <w:tcW w:w="1559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-5</w:t>
            </w:r>
          </w:p>
        </w:tc>
      </w:tr>
    </w:tbl>
    <w:p w:rsidR="0065609C" w:rsidRPr="00E10B94" w:rsidRDefault="0065609C" w:rsidP="00E10B94">
      <w:pPr>
        <w:jc w:val="both"/>
        <w:rPr>
          <w:rFonts w:ascii="Arial" w:hAnsi="Arial" w:cs="Arial"/>
        </w:rPr>
      </w:pP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 xml:space="preserve">Składowanie asfaltu drogowego powinno się odbywać w zbiornikach, wykluczających zanieczyszczenie asfaltu i wyposażonych w system grzewczy pośredni (bez kontaktu asfaltu z przewodami grzewczymi). Zbiornik roboczy otaczarki powinien być izolowany termicznie, posiadać automatyczny system grzewczy z tolerancją ± </w:t>
      </w:r>
      <w:smartTag w:uri="urn:schemas-microsoft-com:office:smarttags" w:element="metricconverter">
        <w:smartTagPr>
          <w:attr w:name="ProductID" w:val="5ﾰC"/>
        </w:smartTagPr>
        <w:r w:rsidRPr="00E10B94">
          <w:rPr>
            <w:rFonts w:ascii="Arial" w:hAnsi="Arial" w:cs="Arial"/>
          </w:rPr>
          <w:t>5°C</w:t>
        </w:r>
      </w:smartTag>
      <w:r w:rsidRPr="00E10B94">
        <w:rPr>
          <w:rFonts w:ascii="Arial" w:hAnsi="Arial" w:cs="Arial"/>
        </w:rPr>
        <w:t xml:space="preserve"> oraz układ cyrkulacji asfaltu.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BA28B2">
        <w:rPr>
          <w:rFonts w:ascii="Arial" w:hAnsi="Arial" w:cs="Arial"/>
          <w:b/>
        </w:rPr>
        <w:t>2.3.</w:t>
      </w:r>
      <w:r w:rsidR="00BA28B2">
        <w:rPr>
          <w:rFonts w:ascii="Arial" w:hAnsi="Arial" w:cs="Arial"/>
        </w:rPr>
        <w:t xml:space="preserve"> Kruszywo.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Do warstwy wiążącej i wyrównawczej z betonu asfaltowego należy stosować kruszywo według PN-EN 13043:2004 i WT-1 Kruszywa 2010, obejmujące kruszywo grube , kruszywo drobne  i wypełniacz. Kruszywa powinny spełniać wymagania podane w WT-1 Kruszywa 2010 rozdział 6 punkt 6.2, tablica 8, tablica 9 , tablica 10, tablica 11.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Składowanie kruszywa powinno się odbywać w warunkach zabezpieczających je przed zanieczyszczeniem i zmieszaniem z kruszywem o innym wymiarze lub pochodzeniu. Podłoże składowiska musi być równe, utwardzone i odwodnione. Składowanie wypełniacza powinno się odbywać w silosach wyposażonych w urządzenia do aeracji.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F5519E">
        <w:rPr>
          <w:rFonts w:ascii="Arial" w:hAnsi="Arial" w:cs="Arial"/>
          <w:b/>
        </w:rPr>
        <w:t>2.4.</w:t>
      </w:r>
      <w:r w:rsidRPr="00E10B94">
        <w:rPr>
          <w:rFonts w:ascii="Arial" w:hAnsi="Arial" w:cs="Arial"/>
        </w:rPr>
        <w:t xml:space="preserve"> Środek adhezyjny</w:t>
      </w:r>
      <w:r w:rsidR="00F5519E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 xml:space="preserve">W celu poprawy powinowactwa fizykochemicznego lepiszcza asfaltowego i kruszywa, gwarantującego odpowiednią przyczepność (adhezję) lepiszcza do kruszywa i odporność mieszanki mineralno-asfaltowej na działanie wody, należy dobrać i zastosować środek </w:t>
      </w:r>
      <w:r w:rsidRPr="00E10B94">
        <w:rPr>
          <w:rFonts w:ascii="Arial" w:hAnsi="Arial" w:cs="Arial"/>
        </w:rPr>
        <w:lastRenderedPageBreak/>
        <w:t>adhezyjny, tak aby dla konkretnej pary kruszywo-lepiszcze wartość przyczepności określona według PN-EN 12697-11:2009, metoda C wynosiła co najmniej 80%.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Składowanie środka adhezyjnego jest dozwolone tylko w oryginalnych opakowaniach producenta.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F5519E">
        <w:rPr>
          <w:rFonts w:ascii="Arial" w:hAnsi="Arial" w:cs="Arial"/>
          <w:b/>
        </w:rPr>
        <w:t>2.5.</w:t>
      </w:r>
      <w:r w:rsidRPr="00E10B94">
        <w:rPr>
          <w:rFonts w:ascii="Arial" w:hAnsi="Arial" w:cs="Arial"/>
        </w:rPr>
        <w:t xml:space="preserve"> Materiały do uszczelnienia połączeń i krawędzi</w:t>
      </w:r>
      <w:r w:rsidR="00F5519E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Do uszczelnienia połączeń technologicznych (tj. złączy podłużnych i poprzecznych z tego samego materiału wykonywanego w różnym czasie oraz spoin stanowiących połączenia różnych materiałów lub połączenie warstwy asfaltowej z urządzeniami obcymi w nawierzchni lub ją ograniczającymi, należy stosować: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materiały termoplastyczne, jak taśmy asfaltowe, pasty itp. według norm lub aprobat technicznych,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 xml:space="preserve">emulsję asfaltową według PN-EN 13808:2010 lub inne lepiszcza według norm lub aprobat technicznych  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Grubość materiału termoplastycznego do spoiny powinna wynosić: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 xml:space="preserve">nie mniej niż </w:t>
      </w:r>
      <w:smartTag w:uri="urn:schemas-microsoft-com:office:smarttags" w:element="metricconverter">
        <w:smartTagPr>
          <w:attr w:name="ProductID" w:val="10 mm"/>
        </w:smartTagPr>
        <w:r w:rsidRPr="00E10B94">
          <w:rPr>
            <w:rFonts w:ascii="Arial" w:hAnsi="Arial" w:cs="Arial"/>
          </w:rPr>
          <w:t>10 mm</w:t>
        </w:r>
      </w:smartTag>
      <w:r w:rsidRPr="00E10B94">
        <w:rPr>
          <w:rFonts w:ascii="Arial" w:hAnsi="Arial" w:cs="Arial"/>
        </w:rPr>
        <w:t xml:space="preserve"> przy grubości warstwy technologicznej do </w:t>
      </w:r>
      <w:smartTag w:uri="urn:schemas-microsoft-com:office:smarttags" w:element="metricconverter">
        <w:smartTagPr>
          <w:attr w:name="ProductID" w:val="2,5 cm"/>
        </w:smartTagPr>
        <w:r w:rsidRPr="00E10B94">
          <w:rPr>
            <w:rFonts w:ascii="Arial" w:hAnsi="Arial" w:cs="Arial"/>
          </w:rPr>
          <w:t>2,5 cm</w:t>
        </w:r>
      </w:smartTag>
      <w:r w:rsidRPr="00E10B94">
        <w:rPr>
          <w:rFonts w:ascii="Arial" w:hAnsi="Arial" w:cs="Arial"/>
        </w:rPr>
        <w:t>,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 xml:space="preserve">nie mniej niż </w:t>
      </w:r>
      <w:smartTag w:uri="urn:schemas-microsoft-com:office:smarttags" w:element="metricconverter">
        <w:smartTagPr>
          <w:attr w:name="ProductID" w:val="15 mm"/>
        </w:smartTagPr>
        <w:r w:rsidRPr="00E10B94">
          <w:rPr>
            <w:rFonts w:ascii="Arial" w:hAnsi="Arial" w:cs="Arial"/>
          </w:rPr>
          <w:t>15 mm</w:t>
        </w:r>
      </w:smartTag>
      <w:r w:rsidRPr="00E10B94">
        <w:rPr>
          <w:rFonts w:ascii="Arial" w:hAnsi="Arial" w:cs="Arial"/>
        </w:rPr>
        <w:t xml:space="preserve"> przy grubości warstwy technologicznej większej niż </w:t>
      </w:r>
      <w:smartTag w:uri="urn:schemas-microsoft-com:office:smarttags" w:element="metricconverter">
        <w:smartTagPr>
          <w:attr w:name="ProductID" w:val="2,5 cm"/>
        </w:smartTagPr>
        <w:r w:rsidRPr="00E10B94">
          <w:rPr>
            <w:rFonts w:ascii="Arial" w:hAnsi="Arial" w:cs="Arial"/>
          </w:rPr>
          <w:t>2,5 cm</w:t>
        </w:r>
      </w:smartTag>
      <w:r w:rsidRPr="00E10B94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Składowanie materiałów termoplastycznych jest dozwolone tylko w oryginalnych opakowaniach producenta, w warunkach określonych w aprobacie technicznej.</w:t>
      </w:r>
    </w:p>
    <w:p w:rsidR="0065609C" w:rsidRPr="00F5519E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Do uszczelnienia krawędzi należy stosować asfalt drogowy wg PN-EN 12591:2010, asfalt modyfikowany polimerami wg PN-EN 14023:2010 „metodą na gorąco”. Dopuszcza się inne rodzaje lepiszcza wg norm lub aprobat technicznych.</w:t>
      </w:r>
    </w:p>
    <w:p w:rsidR="0065609C" w:rsidRPr="00F5519E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  <w:b/>
        </w:rPr>
        <w:t xml:space="preserve">2.6. </w:t>
      </w:r>
      <w:r w:rsidRPr="00F5519E">
        <w:rPr>
          <w:rFonts w:ascii="Arial" w:hAnsi="Arial" w:cs="Arial"/>
        </w:rPr>
        <w:t>Materiały do złączenia warstw konstrukcji</w:t>
      </w:r>
      <w:r w:rsidR="00F5519E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Do złączania warstw konstrukcji nawierzchni (warstwa wiążąca z warstwą ścieralną) należy stosować  kationowe emulsje asfaltowe lub kationowe emulsje modyfikowane polimerami według PN-EN 13808:2010 i WT-3 Emulsje asfaltowe 2009 punkt 5.1 tablica 2 i tablica 3.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Emulsję asfaltową można składować w opakowaniach transportowych lub w stacjonarnych zbiornikach pionowych z nalewaniem od dna. Nie należy nalewać emulsji do opakowań</w:t>
      </w:r>
      <w:r w:rsidR="00F5519E">
        <w:rPr>
          <w:rFonts w:ascii="Arial" w:hAnsi="Arial" w:cs="Arial"/>
        </w:rPr>
        <w:br/>
      </w:r>
      <w:r w:rsidRPr="00E10B94">
        <w:rPr>
          <w:rFonts w:ascii="Arial" w:hAnsi="Arial" w:cs="Arial"/>
        </w:rPr>
        <w:t xml:space="preserve">i zbiorników zanieczyszczonych materiałami mineralnymi. </w:t>
      </w:r>
      <w:bookmarkStart w:id="5" w:name="_Toc237920701"/>
    </w:p>
    <w:p w:rsidR="0065609C" w:rsidRPr="00F5519E" w:rsidRDefault="0065609C" w:rsidP="00E10B94">
      <w:pPr>
        <w:jc w:val="both"/>
        <w:rPr>
          <w:rFonts w:ascii="Arial" w:hAnsi="Arial" w:cs="Arial"/>
          <w:b/>
        </w:rPr>
      </w:pPr>
      <w:r w:rsidRPr="00F5519E">
        <w:rPr>
          <w:rFonts w:ascii="Arial" w:hAnsi="Arial" w:cs="Arial"/>
          <w:b/>
        </w:rPr>
        <w:t xml:space="preserve">3. </w:t>
      </w:r>
      <w:bookmarkEnd w:id="5"/>
      <w:r w:rsidRPr="00F5519E">
        <w:rPr>
          <w:rFonts w:ascii="Arial" w:hAnsi="Arial" w:cs="Arial"/>
          <w:b/>
        </w:rPr>
        <w:t>SPRZĘT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F5519E">
        <w:rPr>
          <w:rFonts w:ascii="Arial" w:hAnsi="Arial" w:cs="Arial"/>
          <w:b/>
        </w:rPr>
        <w:t>3.1.</w:t>
      </w:r>
      <w:r w:rsidRPr="00E10B94">
        <w:rPr>
          <w:rFonts w:ascii="Arial" w:hAnsi="Arial" w:cs="Arial"/>
        </w:rPr>
        <w:t xml:space="preserve"> Ogólne wymagania dotyczące sprzętu</w:t>
      </w:r>
      <w:r w:rsidR="00F5519E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Ogólne wymagania dotyczące sprzętu podano w SSTWiORB  D-M-00.00.00 „Wymagania ogólne” pkt 3.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F5519E">
        <w:rPr>
          <w:rFonts w:ascii="Arial" w:hAnsi="Arial" w:cs="Arial"/>
          <w:b/>
        </w:rPr>
        <w:t>3.2.</w:t>
      </w:r>
      <w:r w:rsidRPr="00E10B94">
        <w:rPr>
          <w:rFonts w:ascii="Arial" w:hAnsi="Arial" w:cs="Arial"/>
        </w:rPr>
        <w:t xml:space="preserve"> Sprzęt stosowany do wykonania robót</w:t>
      </w:r>
      <w:r w:rsidR="00F5519E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Przy wykonywaniu robót Wykonawca w zależności od potrzeb, powinien wykazać się możliwością korzystania ze sprzętu dostosowanego do przyjętej metody robót, jak:</w:t>
      </w:r>
    </w:p>
    <w:p w:rsidR="0065609C" w:rsidRPr="00E10B94" w:rsidRDefault="00F5519E" w:rsidP="00E10B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- </w:t>
      </w:r>
      <w:r w:rsidR="0065609C" w:rsidRPr="00E10B94">
        <w:rPr>
          <w:rFonts w:ascii="Arial" w:hAnsi="Arial" w:cs="Arial"/>
        </w:rPr>
        <w:t xml:space="preserve">wytwórnia (otaczarka) o mieszaniu cyklicznym lub ciągłym, z automatycznym komputerowym sterowaniem produkcji, do wytwarzania mieszanek mineralno-asfaltowych, </w:t>
      </w:r>
    </w:p>
    <w:p w:rsidR="0065609C" w:rsidRPr="00E10B94" w:rsidRDefault="00F5519E" w:rsidP="00E10B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65609C" w:rsidRPr="00E10B94">
        <w:rPr>
          <w:rFonts w:ascii="Arial" w:hAnsi="Arial" w:cs="Arial"/>
        </w:rPr>
        <w:t>układarka gąsienicowa, z elektronicznym sterowaniem równości układanej warstwy,</w:t>
      </w:r>
    </w:p>
    <w:p w:rsidR="0065609C" w:rsidRPr="00E10B94" w:rsidRDefault="00F5519E" w:rsidP="00E10B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65609C" w:rsidRPr="00E10B94">
        <w:rPr>
          <w:rFonts w:ascii="Arial" w:hAnsi="Arial" w:cs="Arial"/>
        </w:rPr>
        <w:t>skrapiarka,</w:t>
      </w:r>
    </w:p>
    <w:p w:rsidR="0065609C" w:rsidRPr="00E10B94" w:rsidRDefault="00F5519E" w:rsidP="00E10B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65609C" w:rsidRPr="00E10B94">
        <w:rPr>
          <w:rFonts w:ascii="Arial" w:hAnsi="Arial" w:cs="Arial"/>
        </w:rPr>
        <w:t xml:space="preserve">walce stalowe gładkie, </w:t>
      </w:r>
    </w:p>
    <w:p w:rsidR="0065609C" w:rsidRPr="00E10B94" w:rsidRDefault="00F5519E" w:rsidP="00E10B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65609C" w:rsidRPr="00E10B94">
        <w:rPr>
          <w:rFonts w:ascii="Arial" w:hAnsi="Arial" w:cs="Arial"/>
        </w:rPr>
        <w:t>walce ogumione</w:t>
      </w:r>
    </w:p>
    <w:p w:rsidR="0065609C" w:rsidRPr="00E10B94" w:rsidRDefault="00F5519E" w:rsidP="00E10B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65609C" w:rsidRPr="00E10B94">
        <w:rPr>
          <w:rFonts w:ascii="Arial" w:hAnsi="Arial" w:cs="Arial"/>
        </w:rPr>
        <w:t>szczotki mechaniczne i/lub inne urządzenia czyszczące,</w:t>
      </w:r>
    </w:p>
    <w:p w:rsidR="0065609C" w:rsidRPr="00E10B94" w:rsidRDefault="00F5519E" w:rsidP="00E10B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65609C" w:rsidRPr="00E10B94">
        <w:rPr>
          <w:rFonts w:ascii="Arial" w:hAnsi="Arial" w:cs="Arial"/>
        </w:rPr>
        <w:t>samochody samowyładowcze z przykryciem brezentowym lub termosami,</w:t>
      </w:r>
    </w:p>
    <w:p w:rsidR="0065609C" w:rsidRPr="00E10B94" w:rsidRDefault="00F5519E" w:rsidP="00E10B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65609C" w:rsidRPr="00E10B94">
        <w:rPr>
          <w:rFonts w:ascii="Arial" w:hAnsi="Arial" w:cs="Arial"/>
        </w:rPr>
        <w:t>sprzęt drobny.</w:t>
      </w:r>
      <w:bookmarkStart w:id="6" w:name="_Toc237920702"/>
    </w:p>
    <w:p w:rsidR="0065609C" w:rsidRPr="00F5519E" w:rsidRDefault="0065609C" w:rsidP="00E10B94">
      <w:pPr>
        <w:jc w:val="both"/>
        <w:rPr>
          <w:rFonts w:ascii="Arial" w:hAnsi="Arial" w:cs="Arial"/>
          <w:b/>
        </w:rPr>
      </w:pPr>
      <w:r w:rsidRPr="00F5519E">
        <w:rPr>
          <w:rFonts w:ascii="Arial" w:hAnsi="Arial" w:cs="Arial"/>
          <w:b/>
        </w:rPr>
        <w:t>4. TRANSPORT</w:t>
      </w:r>
      <w:bookmarkEnd w:id="6"/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F5519E">
        <w:rPr>
          <w:rFonts w:ascii="Arial" w:hAnsi="Arial" w:cs="Arial"/>
          <w:b/>
        </w:rPr>
        <w:t>4.1.</w:t>
      </w:r>
      <w:r w:rsidRPr="00E10B94">
        <w:rPr>
          <w:rFonts w:ascii="Arial" w:hAnsi="Arial" w:cs="Arial"/>
        </w:rPr>
        <w:t xml:space="preserve"> Ogólne wymagania dotyczące transportu</w:t>
      </w:r>
      <w:r w:rsidR="00F5519E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Ogólne wymagania dotyczące transportu podano w SSTWiORB D-M-00.00.00 „Wymagania ogólne” pkt 4.</w:t>
      </w:r>
      <w:r w:rsidRPr="00E10B94">
        <w:rPr>
          <w:rFonts w:ascii="Arial" w:hAnsi="Arial" w:cs="Arial"/>
        </w:rPr>
        <w:tab/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F5519E">
        <w:rPr>
          <w:rFonts w:ascii="Arial" w:hAnsi="Arial" w:cs="Arial"/>
          <w:b/>
        </w:rPr>
        <w:t>4.2.</w:t>
      </w:r>
      <w:r w:rsidR="00F5519E">
        <w:rPr>
          <w:rFonts w:ascii="Arial" w:hAnsi="Arial" w:cs="Arial"/>
        </w:rPr>
        <w:t xml:space="preserve"> Transport materiałów.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Asfalt należy przewozić w cysternach kolejowych lub samochodach izolowanych</w:t>
      </w:r>
      <w:r w:rsidR="00F5519E">
        <w:rPr>
          <w:rFonts w:ascii="Arial" w:hAnsi="Arial" w:cs="Arial"/>
        </w:rPr>
        <w:br/>
      </w:r>
      <w:r w:rsidRPr="00E10B94">
        <w:rPr>
          <w:rFonts w:ascii="Arial" w:hAnsi="Arial" w:cs="Arial"/>
        </w:rPr>
        <w:t>i zaopatrzonych w urządzenia umożliwiające pośrednie ogrzewanie oraz w zawory spustowe.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Kruszywa można przewozić dowolnymi środkami transportu, w warunkach zabezpieczających je przed zanieczyszczeniem, zmieszaniem z innymi materiałami</w:t>
      </w:r>
      <w:r w:rsidR="00F5519E">
        <w:rPr>
          <w:rFonts w:ascii="Arial" w:hAnsi="Arial" w:cs="Arial"/>
        </w:rPr>
        <w:br/>
      </w:r>
      <w:r w:rsidRPr="00E10B94">
        <w:rPr>
          <w:rFonts w:ascii="Arial" w:hAnsi="Arial" w:cs="Arial"/>
        </w:rPr>
        <w:t>i nadmiernym zawilgoceniem.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Wypełniacz należy przewozić w sposób chroniący go przed zawilgoceniem, zbryleniem</w:t>
      </w:r>
      <w:r w:rsidR="00F5519E">
        <w:rPr>
          <w:rFonts w:ascii="Arial" w:hAnsi="Arial" w:cs="Arial"/>
        </w:rPr>
        <w:br/>
      </w:r>
      <w:r w:rsidRPr="00E10B94">
        <w:rPr>
          <w:rFonts w:ascii="Arial" w:hAnsi="Arial" w:cs="Arial"/>
        </w:rPr>
        <w:t>i zanieczyszczeniem. Wypełniacz luzem powinien być przewożony w odpowiednich cysternach przystosowanych do przewozu materiałów sypkich, umożliwiających rozładunek pneumatyczny.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Emulsja asfaltowa może być transportowana w zamkniętych cysternach, autocysternach, beczkach i innych opakowaniach pod warunkiem, że nie będą korodowały pod wpływem emulsji i nie będą powodowały jej rozpadu. Cysterny powinny być wyposażone w przegrody. Nie należy używać do transportu opakowań z metali lekkich (może zachodzić wydzielanie wodoru i groźba wybuchu przy emulsjach o pH ≤ 4).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Mieszankę mineralno-asfaltową należy  dowozić na budowę pojazdami samowyładowczymi w zależności od postępu robót. Podczas transportu i postoju przed wbudowaniem mieszanka powinna być zabezpieczona przed ostygnięciem i dopływem powietrza (przez przykrycie, pojemniki termoizolacyjne lub ogrzewane itp.). Warunki i czas transportu mieszanki,</w:t>
      </w:r>
      <w:r w:rsidR="00053844">
        <w:rPr>
          <w:rFonts w:ascii="Arial" w:hAnsi="Arial" w:cs="Arial"/>
        </w:rPr>
        <w:br/>
      </w:r>
      <w:r w:rsidRPr="00E10B94">
        <w:rPr>
          <w:rFonts w:ascii="Arial" w:hAnsi="Arial" w:cs="Arial"/>
        </w:rPr>
        <w:t>od produkcji do wbudowania, powinna zapewniać utrzymanie temperatury w wymaganym przedziale. Powierzchnie pojemników używanych do transportu mieszanki powinny być czyste, a do zwilżania tych powierzchni można używać tylko środki antyadhezyjne niewpływające szkodliwie na mieszankę.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bookmarkStart w:id="7" w:name="_Toc237920703"/>
    </w:p>
    <w:p w:rsidR="0065609C" w:rsidRPr="00053844" w:rsidRDefault="0065609C" w:rsidP="00E10B94">
      <w:pPr>
        <w:jc w:val="both"/>
        <w:rPr>
          <w:rFonts w:ascii="Arial" w:hAnsi="Arial" w:cs="Arial"/>
          <w:b/>
        </w:rPr>
      </w:pPr>
      <w:r w:rsidRPr="00053844">
        <w:rPr>
          <w:rFonts w:ascii="Arial" w:hAnsi="Arial" w:cs="Arial"/>
          <w:b/>
        </w:rPr>
        <w:t xml:space="preserve">5. </w:t>
      </w:r>
      <w:bookmarkEnd w:id="7"/>
      <w:r w:rsidRPr="00053844">
        <w:rPr>
          <w:rFonts w:ascii="Arial" w:hAnsi="Arial" w:cs="Arial"/>
          <w:b/>
        </w:rPr>
        <w:t>WYKONANIE ROBÓT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053844">
        <w:rPr>
          <w:rFonts w:ascii="Arial" w:hAnsi="Arial" w:cs="Arial"/>
          <w:b/>
        </w:rPr>
        <w:t>5.1.</w:t>
      </w:r>
      <w:r w:rsidRPr="00E10B94">
        <w:rPr>
          <w:rFonts w:ascii="Arial" w:hAnsi="Arial" w:cs="Arial"/>
        </w:rPr>
        <w:t xml:space="preserve"> Ogólne zasady wykonania robót</w:t>
      </w:r>
      <w:r w:rsidR="00053844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Ogólne zasady wykonania robót podano w SSTWiORB D-M-00.00.00 „Wymagania ogólne” pkt 5.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053844">
        <w:rPr>
          <w:rFonts w:ascii="Arial" w:hAnsi="Arial" w:cs="Arial"/>
          <w:b/>
        </w:rPr>
        <w:t>5.2.</w:t>
      </w:r>
      <w:r w:rsidRPr="00E10B94">
        <w:rPr>
          <w:rFonts w:ascii="Arial" w:hAnsi="Arial" w:cs="Arial"/>
        </w:rPr>
        <w:t xml:space="preserve"> Projektowanie mieszanki mineralno-asfaltowej</w:t>
      </w:r>
      <w:r w:rsidR="00053844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Przed przystąpieniem do robót Wykonawca dostarczy Inżynierowi/Kierownikowi projektu</w:t>
      </w:r>
      <w:r w:rsidR="00053844">
        <w:rPr>
          <w:rFonts w:ascii="Arial" w:hAnsi="Arial" w:cs="Arial"/>
        </w:rPr>
        <w:br/>
      </w:r>
      <w:r w:rsidRPr="00E10B94">
        <w:rPr>
          <w:rFonts w:ascii="Arial" w:hAnsi="Arial" w:cs="Arial"/>
        </w:rPr>
        <w:t>do akceptacji projekt składu mieszanki mineralno-asfaltowej (AC 16W). Warstwę wiążącą projektuje się dla kategorii ruchu KR</w:t>
      </w:r>
      <w:r w:rsidR="00053844">
        <w:rPr>
          <w:rFonts w:ascii="Arial" w:hAnsi="Arial" w:cs="Arial"/>
        </w:rPr>
        <w:t>2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Uziarnienie mieszanki mineralnej oraz minimalna zawartość lepiszcza podane są w tablicy 2</w:t>
      </w:r>
      <w:r w:rsidR="00053844">
        <w:rPr>
          <w:rFonts w:ascii="Arial" w:hAnsi="Arial" w:cs="Arial"/>
        </w:rPr>
        <w:t>.</w:t>
      </w:r>
      <w:r w:rsidRPr="00E10B94">
        <w:rPr>
          <w:rFonts w:ascii="Arial" w:hAnsi="Arial" w:cs="Arial"/>
        </w:rPr>
        <w:t xml:space="preserve"> 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Wymagane właściwości mieszanki mineralno-asfaltowej podane są w tablicy 3</w:t>
      </w:r>
      <w:r w:rsidR="00053844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ab/>
      </w:r>
      <w:r w:rsidRPr="00053844">
        <w:rPr>
          <w:rFonts w:ascii="Arial" w:hAnsi="Arial" w:cs="Arial"/>
          <w:b/>
        </w:rPr>
        <w:t>Tablica 2.</w:t>
      </w:r>
      <w:r w:rsidR="00053844">
        <w:rPr>
          <w:rFonts w:ascii="Arial" w:hAnsi="Arial" w:cs="Arial"/>
        </w:rPr>
        <w:t xml:space="preserve"> </w:t>
      </w:r>
      <w:r w:rsidRPr="00E10B94">
        <w:rPr>
          <w:rFonts w:ascii="Arial" w:hAnsi="Arial" w:cs="Arial"/>
        </w:rPr>
        <w:t xml:space="preserve">Uziarnienie mieszanki mineralnej oraz zawartość lepiszcza do betonu asfaltowego do warstwy wiążącej  </w:t>
      </w:r>
    </w:p>
    <w:tbl>
      <w:tblPr>
        <w:tblW w:w="69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10"/>
        <w:gridCol w:w="1418"/>
        <w:gridCol w:w="1984"/>
      </w:tblGrid>
      <w:tr w:rsidR="0065609C" w:rsidRPr="00E10B94" w:rsidTr="00BA28B2">
        <w:trPr>
          <w:trHeight w:val="715"/>
        </w:trPr>
        <w:tc>
          <w:tcPr>
            <w:tcW w:w="3510" w:type="dxa"/>
            <w:vAlign w:val="center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Właściwość</w:t>
            </w:r>
          </w:p>
        </w:tc>
        <w:tc>
          <w:tcPr>
            <w:tcW w:w="3402" w:type="dxa"/>
            <w:gridSpan w:val="2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Przesiew,   [% (m/m)]</w:t>
            </w: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AC16W</w:t>
            </w:r>
          </w:p>
        </w:tc>
      </w:tr>
      <w:tr w:rsidR="0065609C" w:rsidRPr="00E10B94" w:rsidTr="00BA28B2">
        <w:tc>
          <w:tcPr>
            <w:tcW w:w="3510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Wymiar sita #, [mm]</w:t>
            </w:r>
          </w:p>
        </w:tc>
        <w:tc>
          <w:tcPr>
            <w:tcW w:w="1418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Od</w:t>
            </w:r>
          </w:p>
        </w:tc>
        <w:tc>
          <w:tcPr>
            <w:tcW w:w="1984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do</w:t>
            </w:r>
          </w:p>
        </w:tc>
      </w:tr>
      <w:tr w:rsidR="0065609C" w:rsidRPr="00E10B94" w:rsidTr="00BA28B2">
        <w:tc>
          <w:tcPr>
            <w:tcW w:w="3510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31,5</w:t>
            </w:r>
          </w:p>
        </w:tc>
        <w:tc>
          <w:tcPr>
            <w:tcW w:w="1418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-</w:t>
            </w:r>
          </w:p>
        </w:tc>
        <w:tc>
          <w:tcPr>
            <w:tcW w:w="1984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-</w:t>
            </w:r>
          </w:p>
        </w:tc>
      </w:tr>
      <w:tr w:rsidR="0065609C" w:rsidRPr="00E10B94" w:rsidTr="00BA28B2">
        <w:tc>
          <w:tcPr>
            <w:tcW w:w="3510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22,4</w:t>
            </w:r>
          </w:p>
        </w:tc>
        <w:tc>
          <w:tcPr>
            <w:tcW w:w="1418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100</w:t>
            </w:r>
          </w:p>
        </w:tc>
        <w:tc>
          <w:tcPr>
            <w:tcW w:w="1984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-</w:t>
            </w:r>
          </w:p>
        </w:tc>
      </w:tr>
      <w:tr w:rsidR="0065609C" w:rsidRPr="00E10B94" w:rsidTr="00BA28B2">
        <w:tc>
          <w:tcPr>
            <w:tcW w:w="3510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16</w:t>
            </w:r>
          </w:p>
        </w:tc>
        <w:tc>
          <w:tcPr>
            <w:tcW w:w="1418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90</w:t>
            </w:r>
          </w:p>
        </w:tc>
        <w:tc>
          <w:tcPr>
            <w:tcW w:w="1984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100</w:t>
            </w:r>
          </w:p>
        </w:tc>
      </w:tr>
      <w:tr w:rsidR="0065609C" w:rsidRPr="00E10B94" w:rsidTr="00BA28B2">
        <w:tc>
          <w:tcPr>
            <w:tcW w:w="3510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11,2</w:t>
            </w:r>
          </w:p>
        </w:tc>
        <w:tc>
          <w:tcPr>
            <w:tcW w:w="1418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70</w:t>
            </w:r>
          </w:p>
        </w:tc>
        <w:tc>
          <w:tcPr>
            <w:tcW w:w="1984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90</w:t>
            </w:r>
          </w:p>
        </w:tc>
      </w:tr>
      <w:tr w:rsidR="0065609C" w:rsidRPr="00E10B94" w:rsidTr="00BA28B2">
        <w:tc>
          <w:tcPr>
            <w:tcW w:w="3510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8</w:t>
            </w:r>
          </w:p>
        </w:tc>
        <w:tc>
          <w:tcPr>
            <w:tcW w:w="1418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55</w:t>
            </w:r>
          </w:p>
        </w:tc>
        <w:tc>
          <w:tcPr>
            <w:tcW w:w="1984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85</w:t>
            </w:r>
          </w:p>
        </w:tc>
      </w:tr>
      <w:tr w:rsidR="0065609C" w:rsidRPr="00E10B94" w:rsidTr="00BA28B2">
        <w:tc>
          <w:tcPr>
            <w:tcW w:w="3510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2</w:t>
            </w:r>
          </w:p>
        </w:tc>
        <w:tc>
          <w:tcPr>
            <w:tcW w:w="1418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25</w:t>
            </w:r>
          </w:p>
        </w:tc>
        <w:tc>
          <w:tcPr>
            <w:tcW w:w="1984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50</w:t>
            </w:r>
          </w:p>
        </w:tc>
      </w:tr>
      <w:tr w:rsidR="0065609C" w:rsidRPr="00E10B94" w:rsidTr="00BA28B2">
        <w:tc>
          <w:tcPr>
            <w:tcW w:w="3510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0,125</w:t>
            </w:r>
          </w:p>
        </w:tc>
        <w:tc>
          <w:tcPr>
            <w:tcW w:w="1418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4</w:t>
            </w:r>
          </w:p>
        </w:tc>
        <w:tc>
          <w:tcPr>
            <w:tcW w:w="1984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12</w:t>
            </w:r>
          </w:p>
        </w:tc>
      </w:tr>
      <w:tr w:rsidR="0065609C" w:rsidRPr="00E10B94" w:rsidTr="00BA28B2">
        <w:tc>
          <w:tcPr>
            <w:tcW w:w="3510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0,063</w:t>
            </w:r>
          </w:p>
        </w:tc>
        <w:tc>
          <w:tcPr>
            <w:tcW w:w="1418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4,0</w:t>
            </w:r>
          </w:p>
        </w:tc>
        <w:tc>
          <w:tcPr>
            <w:tcW w:w="1984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10</w:t>
            </w:r>
          </w:p>
        </w:tc>
      </w:tr>
      <w:tr w:rsidR="0065609C" w:rsidRPr="00E10B94" w:rsidTr="00BA28B2">
        <w:tc>
          <w:tcPr>
            <w:tcW w:w="3510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  <w:vertAlign w:val="superscript"/>
              </w:rPr>
            </w:pPr>
            <w:r w:rsidRPr="00E10B94">
              <w:rPr>
                <w:rFonts w:ascii="Arial" w:hAnsi="Arial" w:cs="Arial"/>
              </w:rPr>
              <w:t>Zawartość lepiszcza, minimum</w:t>
            </w:r>
            <w:r w:rsidRPr="00E10B94">
              <w:rPr>
                <w:rFonts w:ascii="Arial" w:hAnsi="Arial" w:cs="Arial"/>
                <w:vertAlign w:val="superscript"/>
              </w:rPr>
              <w:t>*)</w:t>
            </w:r>
          </w:p>
        </w:tc>
        <w:tc>
          <w:tcPr>
            <w:tcW w:w="3402" w:type="dxa"/>
            <w:gridSpan w:val="2"/>
            <w:vAlign w:val="center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B</w:t>
            </w:r>
            <w:r w:rsidRPr="00E10B94">
              <w:rPr>
                <w:rFonts w:ascii="Arial" w:hAnsi="Arial" w:cs="Arial"/>
                <w:vertAlign w:val="subscript"/>
              </w:rPr>
              <w:t>min4,4</w:t>
            </w:r>
          </w:p>
        </w:tc>
      </w:tr>
      <w:tr w:rsidR="0065609C" w:rsidRPr="00E10B94" w:rsidTr="00BA28B2">
        <w:tc>
          <w:tcPr>
            <w:tcW w:w="6912" w:type="dxa"/>
            <w:gridSpan w:val="3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  <w:vertAlign w:val="superscript"/>
              </w:rPr>
              <w:t>*)</w:t>
            </w:r>
            <w:r w:rsidRPr="00E10B94">
              <w:rPr>
                <w:rFonts w:ascii="Arial" w:hAnsi="Arial" w:cs="Arial"/>
              </w:rPr>
              <w:t xml:space="preserve"> Minimalna zawartość lepiszcza jest określona przy założonej gęstości mieszanki mineralnej 2,650 Mg/m</w:t>
            </w:r>
            <w:r w:rsidRPr="00E10B94">
              <w:rPr>
                <w:rFonts w:ascii="Arial" w:hAnsi="Arial" w:cs="Arial"/>
                <w:vertAlign w:val="superscript"/>
              </w:rPr>
              <w:t>3</w:t>
            </w:r>
            <w:r w:rsidRPr="00E10B94">
              <w:rPr>
                <w:rFonts w:ascii="Arial" w:hAnsi="Arial" w:cs="Arial"/>
              </w:rPr>
              <w:t>. Jeżeli stosowana mieszanka mineralna ma inną gęstość (</w:t>
            </w:r>
            <w:r w:rsidRPr="00E10B94">
              <w:rPr>
                <w:rFonts w:ascii="Arial" w:hAnsi="Arial" w:cs="Arial"/>
                <w:i/>
              </w:rPr>
              <w:t>ρ</w:t>
            </w:r>
            <w:r w:rsidRPr="00E10B94">
              <w:rPr>
                <w:rFonts w:ascii="Arial" w:hAnsi="Arial" w:cs="Arial"/>
                <w:vertAlign w:val="subscript"/>
              </w:rPr>
              <w:t>d</w:t>
            </w:r>
            <w:r w:rsidRPr="00E10B94">
              <w:rPr>
                <w:rFonts w:ascii="Arial" w:hAnsi="Arial" w:cs="Arial"/>
              </w:rPr>
              <w:t xml:space="preserve">), to do wyznaczenia minimalnej zawartości lepiszcza podaną wartość należy pomnożyć przez współczynnik </w:t>
            </w:r>
            <w:r w:rsidRPr="00E10B94">
              <w:rPr>
                <w:rFonts w:ascii="Arial" w:hAnsi="Arial" w:cs="Arial"/>
                <w:position w:val="-6"/>
              </w:rPr>
              <w:object w:dxaOrig="240" w:dyaOrig="2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pt;height:10.5pt" o:ole="">
                  <v:imagedata r:id="rId6" o:title=""/>
                </v:shape>
                <o:OLEObject Type="Embed" ProgID="Equation.3" ShapeID="_x0000_i1025" DrawAspect="Content" ObjectID="_1489501890" r:id="rId7"/>
              </w:object>
            </w:r>
            <w:r w:rsidRPr="00E10B94">
              <w:rPr>
                <w:rFonts w:ascii="Arial" w:hAnsi="Arial" w:cs="Arial"/>
              </w:rPr>
              <w:t xml:space="preserve"> według równania: </w:t>
            </w:r>
            <w:r w:rsidRPr="00E10B94">
              <w:rPr>
                <w:rFonts w:ascii="Arial" w:hAnsi="Arial" w:cs="Arial"/>
                <w:position w:val="-30"/>
              </w:rPr>
              <w:object w:dxaOrig="880" w:dyaOrig="680">
                <v:shape id="_x0000_i1026" type="#_x0000_t75" style="width:44.25pt;height:34.5pt" o:ole="">
                  <v:imagedata r:id="rId8" o:title=""/>
                </v:shape>
                <o:OLEObject Type="Embed" ProgID="Equation.3" ShapeID="_x0000_i1026" DrawAspect="Content" ObjectID="_1489501891" r:id="rId9"/>
              </w:object>
            </w:r>
          </w:p>
        </w:tc>
      </w:tr>
    </w:tbl>
    <w:p w:rsidR="0065609C" w:rsidRPr="00E10B94" w:rsidRDefault="0065609C" w:rsidP="00E10B94">
      <w:pPr>
        <w:jc w:val="both"/>
        <w:rPr>
          <w:rFonts w:ascii="Arial" w:hAnsi="Arial" w:cs="Arial"/>
        </w:rPr>
      </w:pPr>
    </w:p>
    <w:p w:rsidR="0065609C" w:rsidRPr="00E10B94" w:rsidRDefault="0065609C" w:rsidP="00E10B94">
      <w:pPr>
        <w:jc w:val="both"/>
        <w:rPr>
          <w:rFonts w:ascii="Arial" w:hAnsi="Arial" w:cs="Arial"/>
        </w:rPr>
      </w:pPr>
    </w:p>
    <w:p w:rsidR="0065609C" w:rsidRPr="00E10B94" w:rsidRDefault="00053844" w:rsidP="00E10B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053844">
        <w:rPr>
          <w:rFonts w:ascii="Arial" w:hAnsi="Arial" w:cs="Arial"/>
          <w:b/>
        </w:rPr>
        <w:t>Tablica 3.</w:t>
      </w:r>
      <w:r>
        <w:rPr>
          <w:rFonts w:ascii="Arial" w:hAnsi="Arial" w:cs="Arial"/>
        </w:rPr>
        <w:t xml:space="preserve"> </w:t>
      </w:r>
      <w:r w:rsidR="0065609C" w:rsidRPr="00E10B94">
        <w:rPr>
          <w:rFonts w:ascii="Arial" w:hAnsi="Arial" w:cs="Arial"/>
        </w:rPr>
        <w:t>Wymagane właściwości mieszanki mineralno-asfaltowej do warstwy wiążącej</w:t>
      </w:r>
      <w:r>
        <w:rPr>
          <w:rFonts w:ascii="Arial" w:hAnsi="Arial" w:cs="Arial"/>
        </w:rPr>
        <w:t>.</w:t>
      </w:r>
      <w:r w:rsidR="0065609C" w:rsidRPr="00E10B94">
        <w:rPr>
          <w:rFonts w:ascii="Arial" w:hAnsi="Arial" w:cs="Arial"/>
        </w:rPr>
        <w:t xml:space="preserve"> 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18"/>
        <w:gridCol w:w="1559"/>
        <w:gridCol w:w="3828"/>
        <w:gridCol w:w="1842"/>
      </w:tblGrid>
      <w:tr w:rsidR="0065609C" w:rsidRPr="00E10B94" w:rsidTr="00BA28B2">
        <w:tc>
          <w:tcPr>
            <w:tcW w:w="2518" w:type="dxa"/>
            <w:vAlign w:val="center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Właściwość</w:t>
            </w:r>
          </w:p>
        </w:tc>
        <w:tc>
          <w:tcPr>
            <w:tcW w:w="1559" w:type="dxa"/>
            <w:vAlign w:val="center"/>
          </w:tcPr>
          <w:p w:rsidR="0065609C" w:rsidRPr="00053844" w:rsidRDefault="0065609C" w:rsidP="0005384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53844">
              <w:rPr>
                <w:rFonts w:ascii="Arial" w:hAnsi="Arial" w:cs="Arial"/>
                <w:sz w:val="18"/>
                <w:szCs w:val="18"/>
              </w:rPr>
              <w:t>Warunki zagęszczania wg</w:t>
            </w:r>
            <w:r w:rsidR="0005384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53844">
              <w:rPr>
                <w:rFonts w:ascii="Arial" w:hAnsi="Arial" w:cs="Arial"/>
                <w:sz w:val="18"/>
                <w:szCs w:val="18"/>
              </w:rPr>
              <w:t xml:space="preserve">PN-EN 13108-20:2008  </w:t>
            </w:r>
          </w:p>
        </w:tc>
        <w:tc>
          <w:tcPr>
            <w:tcW w:w="3828" w:type="dxa"/>
            <w:vAlign w:val="center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Metoda i warunki badania</w:t>
            </w:r>
          </w:p>
        </w:tc>
        <w:tc>
          <w:tcPr>
            <w:tcW w:w="1842" w:type="dxa"/>
            <w:vAlign w:val="center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AC16W</w:t>
            </w:r>
          </w:p>
        </w:tc>
      </w:tr>
      <w:tr w:rsidR="0065609C" w:rsidRPr="00E10B94" w:rsidTr="00BA28B2">
        <w:tc>
          <w:tcPr>
            <w:tcW w:w="2518" w:type="dxa"/>
            <w:vAlign w:val="center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Zawartość wolnych przestrzeni</w:t>
            </w:r>
          </w:p>
        </w:tc>
        <w:tc>
          <w:tcPr>
            <w:tcW w:w="1559" w:type="dxa"/>
            <w:vAlign w:val="center"/>
          </w:tcPr>
          <w:p w:rsidR="0065609C" w:rsidRPr="00053844" w:rsidRDefault="0065609C" w:rsidP="00E10B9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53844">
              <w:rPr>
                <w:rFonts w:ascii="Arial" w:hAnsi="Arial" w:cs="Arial"/>
                <w:sz w:val="18"/>
                <w:szCs w:val="18"/>
              </w:rPr>
              <w:t>C.1.3,ubijanie, 2×75 uderzeń</w:t>
            </w:r>
          </w:p>
        </w:tc>
        <w:tc>
          <w:tcPr>
            <w:tcW w:w="3828" w:type="dxa"/>
            <w:vAlign w:val="center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12697-8:2005, p. 4</w:t>
            </w:r>
          </w:p>
        </w:tc>
        <w:tc>
          <w:tcPr>
            <w:tcW w:w="1842" w:type="dxa"/>
            <w:vAlign w:val="center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  <w:i/>
              </w:rPr>
              <w:t>V</w:t>
            </w:r>
            <w:r w:rsidRPr="00E10B94">
              <w:rPr>
                <w:rFonts w:ascii="Arial" w:hAnsi="Arial" w:cs="Arial"/>
                <w:vertAlign w:val="subscript"/>
              </w:rPr>
              <w:t>min4,0</w:t>
            </w: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  <w:i/>
              </w:rPr>
              <w:t>V</w:t>
            </w:r>
            <w:r w:rsidRPr="00E10B94">
              <w:rPr>
                <w:rFonts w:ascii="Arial" w:hAnsi="Arial" w:cs="Arial"/>
                <w:vertAlign w:val="subscript"/>
              </w:rPr>
              <w:t>max7,0</w:t>
            </w:r>
          </w:p>
        </w:tc>
      </w:tr>
      <w:tr w:rsidR="0065609C" w:rsidRPr="00E10B94" w:rsidTr="00BA28B2">
        <w:tc>
          <w:tcPr>
            <w:tcW w:w="2518" w:type="dxa"/>
            <w:vAlign w:val="center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 xml:space="preserve">Odporność na deformacje trwałe (grubość płyty </w:t>
            </w:r>
            <w:smartTag w:uri="urn:schemas-microsoft-com:office:smarttags" w:element="metricconverter">
              <w:smartTagPr>
                <w:attr w:name="ProductID" w:val="60 mm"/>
              </w:smartTagPr>
              <w:r w:rsidRPr="00E10B94">
                <w:rPr>
                  <w:rFonts w:ascii="Arial" w:hAnsi="Arial" w:cs="Arial"/>
                </w:rPr>
                <w:t>60 mm</w:t>
              </w:r>
            </w:smartTag>
            <w:r w:rsidRPr="00E10B94">
              <w:rPr>
                <w:rFonts w:ascii="Arial" w:hAnsi="Arial" w:cs="Arial"/>
              </w:rPr>
              <w:t>)</w:t>
            </w:r>
          </w:p>
        </w:tc>
        <w:tc>
          <w:tcPr>
            <w:tcW w:w="1559" w:type="dxa"/>
            <w:vAlign w:val="center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C.1.20, wałowanie,</w:t>
            </w: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</w:t>
            </w:r>
            <w:r w:rsidRPr="00E10B94">
              <w:rPr>
                <w:rFonts w:ascii="Arial" w:hAnsi="Arial" w:cs="Arial"/>
                <w:vertAlign w:val="subscript"/>
              </w:rPr>
              <w:t>98</w:t>
            </w:r>
            <w:r w:rsidRPr="00E10B94">
              <w:rPr>
                <w:rFonts w:ascii="Arial" w:hAnsi="Arial" w:cs="Arial"/>
              </w:rPr>
              <w:t>-P</w:t>
            </w:r>
            <w:r w:rsidRPr="00E10B94">
              <w:rPr>
                <w:rFonts w:ascii="Arial" w:hAnsi="Arial" w:cs="Arial"/>
                <w:vertAlign w:val="subscript"/>
              </w:rPr>
              <w:t>100</w:t>
            </w:r>
          </w:p>
        </w:tc>
        <w:tc>
          <w:tcPr>
            <w:tcW w:w="3828" w:type="dxa"/>
            <w:vAlign w:val="center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 xml:space="preserve">PN-EN 12697-22:2004, metoda B w powietrzu, PN-EN 13108-20:2008, D.1.6,60°C, 10 000 cykli </w:t>
            </w:r>
          </w:p>
        </w:tc>
        <w:tc>
          <w:tcPr>
            <w:tcW w:w="1842" w:type="dxa"/>
            <w:vAlign w:val="center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  <w:vertAlign w:val="subscript"/>
              </w:rPr>
            </w:pPr>
            <w:r w:rsidRPr="00E10B94">
              <w:rPr>
                <w:rFonts w:ascii="Arial" w:hAnsi="Arial" w:cs="Arial"/>
                <w:i/>
              </w:rPr>
              <w:t>WTS</w:t>
            </w:r>
            <w:r w:rsidRPr="00E10B94">
              <w:rPr>
                <w:rFonts w:ascii="Arial" w:hAnsi="Arial" w:cs="Arial"/>
                <w:vertAlign w:val="subscript"/>
              </w:rPr>
              <w:t>AIR0,30</w:t>
            </w: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  <w:vertAlign w:val="subscript"/>
              </w:rPr>
            </w:pPr>
            <w:r w:rsidRPr="00E10B94">
              <w:rPr>
                <w:rFonts w:ascii="Arial" w:hAnsi="Arial" w:cs="Arial"/>
                <w:i/>
              </w:rPr>
              <w:t>PRD</w:t>
            </w:r>
            <w:r w:rsidRPr="00E10B94">
              <w:rPr>
                <w:rFonts w:ascii="Arial" w:hAnsi="Arial" w:cs="Arial"/>
                <w:vertAlign w:val="subscript"/>
              </w:rPr>
              <w:t>AIRDeklarowane</w:t>
            </w:r>
          </w:p>
        </w:tc>
      </w:tr>
      <w:tr w:rsidR="0065609C" w:rsidRPr="00E10B94" w:rsidTr="00BA28B2">
        <w:tc>
          <w:tcPr>
            <w:tcW w:w="2518" w:type="dxa"/>
            <w:vAlign w:val="center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Odporność na działanie wody</w:t>
            </w:r>
          </w:p>
        </w:tc>
        <w:tc>
          <w:tcPr>
            <w:tcW w:w="1559" w:type="dxa"/>
            <w:vAlign w:val="center"/>
          </w:tcPr>
          <w:p w:rsidR="0065609C" w:rsidRPr="00053844" w:rsidRDefault="0065609C" w:rsidP="00E10B9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53844">
              <w:rPr>
                <w:rFonts w:ascii="Arial" w:hAnsi="Arial" w:cs="Arial"/>
                <w:sz w:val="18"/>
                <w:szCs w:val="18"/>
              </w:rPr>
              <w:t>C.1.1,ubijanie, 2×25 uderzeń</w:t>
            </w:r>
          </w:p>
        </w:tc>
        <w:tc>
          <w:tcPr>
            <w:tcW w:w="3828" w:type="dxa"/>
            <w:vAlign w:val="center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 xml:space="preserve">PN-EN 12697-12:2008  przechowywanie w </w:t>
            </w:r>
            <w:smartTag w:uri="urn:schemas-microsoft-com:office:smarttags" w:element="metricconverter">
              <w:smartTagPr>
                <w:attr w:name="ProductID" w:val="40ﾰC"/>
              </w:smartTagPr>
              <w:r w:rsidRPr="00E10B94">
                <w:rPr>
                  <w:rFonts w:ascii="Arial" w:hAnsi="Arial" w:cs="Arial"/>
                </w:rPr>
                <w:t>40°C</w:t>
              </w:r>
            </w:smartTag>
            <w:r w:rsidRPr="00E10B94">
              <w:rPr>
                <w:rFonts w:ascii="Arial" w:hAnsi="Arial" w:cs="Arial"/>
              </w:rPr>
              <w:t xml:space="preserve"> z jednym cyklem zamrażania, badanie w </w:t>
            </w:r>
            <w:smartTag w:uri="urn:schemas-microsoft-com:office:smarttags" w:element="metricconverter">
              <w:smartTagPr>
                <w:attr w:name="ProductID" w:val="15ﾰC"/>
              </w:smartTagPr>
              <w:r w:rsidRPr="00E10B94">
                <w:rPr>
                  <w:rFonts w:ascii="Arial" w:hAnsi="Arial" w:cs="Arial"/>
                </w:rPr>
                <w:t>15°C</w:t>
              </w:r>
            </w:smartTag>
          </w:p>
        </w:tc>
        <w:tc>
          <w:tcPr>
            <w:tcW w:w="1842" w:type="dxa"/>
            <w:vAlign w:val="center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  <w:vertAlign w:val="subscript"/>
              </w:rPr>
            </w:pPr>
            <w:r w:rsidRPr="00E10B94">
              <w:rPr>
                <w:rFonts w:ascii="Arial" w:hAnsi="Arial" w:cs="Arial"/>
                <w:i/>
              </w:rPr>
              <w:t>ITSR</w:t>
            </w:r>
            <w:r w:rsidRPr="00E10B94">
              <w:rPr>
                <w:rFonts w:ascii="Arial" w:hAnsi="Arial" w:cs="Arial"/>
                <w:i/>
                <w:vertAlign w:val="subscript"/>
              </w:rPr>
              <w:t>80</w:t>
            </w:r>
          </w:p>
        </w:tc>
      </w:tr>
    </w:tbl>
    <w:p w:rsidR="0065609C" w:rsidRPr="00E10B94" w:rsidRDefault="0065609C" w:rsidP="00E10B94">
      <w:pPr>
        <w:jc w:val="both"/>
        <w:rPr>
          <w:rFonts w:ascii="Arial" w:hAnsi="Arial" w:cs="Arial"/>
        </w:rPr>
      </w:pP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053844">
        <w:rPr>
          <w:rFonts w:ascii="Arial" w:hAnsi="Arial" w:cs="Arial"/>
          <w:b/>
        </w:rPr>
        <w:t>5.3.</w:t>
      </w:r>
      <w:r w:rsidRPr="00E10B94">
        <w:rPr>
          <w:rFonts w:ascii="Arial" w:hAnsi="Arial" w:cs="Arial"/>
        </w:rPr>
        <w:t xml:space="preserve"> Wytwarzanie mieszanki mineralno-asfaltowej</w:t>
      </w:r>
      <w:r w:rsidR="00053844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Mieszankę mineralno-asfaltową należy wytwarzać na gorąco w otaczarce (zespole maszyn</w:t>
      </w:r>
      <w:r w:rsidR="00053844">
        <w:rPr>
          <w:rFonts w:ascii="Arial" w:hAnsi="Arial" w:cs="Arial"/>
        </w:rPr>
        <w:br/>
      </w:r>
      <w:r w:rsidRPr="00E10B94">
        <w:rPr>
          <w:rFonts w:ascii="Arial" w:hAnsi="Arial" w:cs="Arial"/>
        </w:rPr>
        <w:t>i urządzeń dozowania, podgrzewania i mieszania składników oraz przechowywania gotowej mieszanki).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Dozowanie składników mieszanki mineralno-asfaltowej w otaczarkach, w tym także wstępne, powinno być zautomatyzowane i zgodne z receptą roboczą, a urządzenia do dozowania składników oraz pomiaru temperatury powinny być okresowo sprawdzane. Kruszywo</w:t>
      </w:r>
      <w:r w:rsidR="00053844">
        <w:rPr>
          <w:rFonts w:ascii="Arial" w:hAnsi="Arial" w:cs="Arial"/>
        </w:rPr>
        <w:br/>
      </w:r>
      <w:r w:rsidRPr="00E10B94">
        <w:rPr>
          <w:rFonts w:ascii="Arial" w:hAnsi="Arial" w:cs="Arial"/>
        </w:rPr>
        <w:t>o różnym uziarnieniu lub pochodzeniu należy dodawać odmierzone oddzielnie.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 xml:space="preserve">Lepiszcze asfaltowe należy przechowywać w zbiorniku z pośrednim systemem ogrzewania, z układem termostatowania zapewniającym utrzymanie żądanej temperatury z dokładnością ± </w:t>
      </w:r>
      <w:smartTag w:uri="urn:schemas-microsoft-com:office:smarttags" w:element="metricconverter">
        <w:smartTagPr>
          <w:attr w:name="ProductID" w:val="5ﾰC"/>
        </w:smartTagPr>
        <w:r w:rsidRPr="00E10B94">
          <w:rPr>
            <w:rFonts w:ascii="Arial" w:hAnsi="Arial" w:cs="Arial"/>
          </w:rPr>
          <w:t>5°C</w:t>
        </w:r>
      </w:smartTag>
      <w:r w:rsidRPr="00E10B94">
        <w:rPr>
          <w:rFonts w:ascii="Arial" w:hAnsi="Arial" w:cs="Arial"/>
        </w:rPr>
        <w:t xml:space="preserve">. Temperatura lepiszcza asfaltowego w zbiorniku magazynowym (roboczym) nie może przekraczać </w:t>
      </w:r>
      <w:smartTag w:uri="urn:schemas-microsoft-com:office:smarttags" w:element="metricconverter">
        <w:smartTagPr>
          <w:attr w:name="ProductID" w:val="190ﾰC"/>
        </w:smartTagPr>
        <w:r w:rsidRPr="00E10B94">
          <w:rPr>
            <w:rFonts w:ascii="Arial" w:hAnsi="Arial" w:cs="Arial"/>
          </w:rPr>
          <w:t>190°C</w:t>
        </w:r>
      </w:smartTag>
      <w:r w:rsidRPr="00E10B94">
        <w:rPr>
          <w:rFonts w:ascii="Arial" w:hAnsi="Arial" w:cs="Arial"/>
        </w:rPr>
        <w:t xml:space="preserve"> dla asfaltu drogowego 35/50.</w:t>
      </w:r>
      <w:r w:rsidRPr="00E10B94">
        <w:rPr>
          <w:rFonts w:ascii="Arial" w:hAnsi="Arial" w:cs="Arial"/>
        </w:rPr>
        <w:tab/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 xml:space="preserve">Kruszywo powinno być wysuszone i podgrzane tak, aby mieszanka mineralna uzyskała temperaturę właściwą do otoczenia lepiszczem asfaltowym. Temperatura mieszanki mineralnej nie powinna być wyższa o więcej niż </w:t>
      </w:r>
      <w:smartTag w:uri="urn:schemas-microsoft-com:office:smarttags" w:element="metricconverter">
        <w:smartTagPr>
          <w:attr w:name="ProductID" w:val="225ﾰC"/>
        </w:smartTagPr>
        <w:r w:rsidRPr="00E10B94">
          <w:rPr>
            <w:rFonts w:ascii="Arial" w:hAnsi="Arial" w:cs="Arial"/>
          </w:rPr>
          <w:t>225°C</w:t>
        </w:r>
      </w:smartTag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Sposób i czas mieszania składników mieszanki mineralno-asfaltowej powinny zapewnić równomierne otoczenie kruszywa lepiszczem asfaltowym.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Dopuszcza się dostawy mieszanek mineralno-asfaltowych z kilku wytwórni, pod warunkiem skoordynowania między sobą deklarowanych przydatności mieszanek (m.in.: typ, rodzaj składników, właściwości objętościowe) z zachowaniem braku różnic w ich właściwościach.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053844">
        <w:rPr>
          <w:rFonts w:ascii="Arial" w:hAnsi="Arial" w:cs="Arial"/>
          <w:b/>
        </w:rPr>
        <w:lastRenderedPageBreak/>
        <w:t>5.4.</w:t>
      </w:r>
      <w:r w:rsidRPr="00E10B94">
        <w:rPr>
          <w:rFonts w:ascii="Arial" w:hAnsi="Arial" w:cs="Arial"/>
        </w:rPr>
        <w:t xml:space="preserve"> Przygotowanie podłoża</w:t>
      </w:r>
      <w:r w:rsidR="00053844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Podłoże (podbudowa lub stara warstwa ścieralna) pod warstwę wiążącą lub wyrównawczą</w:t>
      </w:r>
      <w:r w:rsidR="00053844">
        <w:rPr>
          <w:rFonts w:ascii="Arial" w:hAnsi="Arial" w:cs="Arial"/>
        </w:rPr>
        <w:br/>
      </w:r>
      <w:r w:rsidRPr="00E10B94">
        <w:rPr>
          <w:rFonts w:ascii="Arial" w:hAnsi="Arial" w:cs="Arial"/>
        </w:rPr>
        <w:t xml:space="preserve"> z betonu asfaltowego powinno być na całej powierzchni:</w:t>
      </w:r>
    </w:p>
    <w:p w:rsidR="0065609C" w:rsidRPr="00E10B94" w:rsidRDefault="00053844" w:rsidP="00E10B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65609C" w:rsidRPr="00E10B94">
        <w:rPr>
          <w:rFonts w:ascii="Arial" w:hAnsi="Arial" w:cs="Arial"/>
        </w:rPr>
        <w:t>ustabilizowane i nośne,</w:t>
      </w:r>
    </w:p>
    <w:p w:rsidR="0065609C" w:rsidRPr="00E10B94" w:rsidRDefault="00053844" w:rsidP="00E10B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65609C" w:rsidRPr="00E10B94">
        <w:rPr>
          <w:rFonts w:ascii="Arial" w:hAnsi="Arial" w:cs="Arial"/>
        </w:rPr>
        <w:t>czyste, bez zanieczyszczenia lub pozostałości luźnego kruszywa,</w:t>
      </w:r>
    </w:p>
    <w:p w:rsidR="0065609C" w:rsidRPr="00E10B94" w:rsidRDefault="00053844" w:rsidP="00E10B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65609C" w:rsidRPr="00E10B94">
        <w:rPr>
          <w:rFonts w:ascii="Arial" w:hAnsi="Arial" w:cs="Arial"/>
        </w:rPr>
        <w:t>wyprofilowane, równe i bez kolein.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W wypadku podłoża z nowo wykonanej warstwy asfaltowej, do oceny nierówności należy przyjąć dane z pomiaru równości tej warstwy, zgodnie z WT-2 Nawierzchnie asfaltowe 2008 - punkt 8.7.2. Wymagana równość podłużna jest określona w rozporządzeniu dotyczącym warunków technicznych, jakim powinny odpowiadać drogi publiczne. W wypadku podłoża</w:t>
      </w:r>
      <w:r w:rsidR="00053844">
        <w:rPr>
          <w:rFonts w:ascii="Arial" w:hAnsi="Arial" w:cs="Arial"/>
        </w:rPr>
        <w:br/>
      </w:r>
      <w:r w:rsidRPr="00E10B94">
        <w:rPr>
          <w:rFonts w:ascii="Arial" w:hAnsi="Arial" w:cs="Arial"/>
        </w:rPr>
        <w:t xml:space="preserve">z warstwy starej nawierzchni, nierówności nie powinny przekraczać </w:t>
      </w:r>
      <w:smartTag w:uri="urn:schemas-microsoft-com:office:smarttags" w:element="metricconverter">
        <w:smartTagPr>
          <w:attr w:name="ProductID" w:val="10 mm"/>
        </w:smartTagPr>
        <w:r w:rsidRPr="00E10B94">
          <w:rPr>
            <w:rFonts w:ascii="Arial" w:hAnsi="Arial" w:cs="Arial"/>
          </w:rPr>
          <w:t>10 mm</w:t>
        </w:r>
      </w:smartTag>
      <w:r w:rsidRPr="00E10B94">
        <w:rPr>
          <w:rFonts w:ascii="Arial" w:hAnsi="Arial" w:cs="Arial"/>
        </w:rPr>
        <w:t xml:space="preserve"> 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Jeżeli nierówności  są większe niż dopuszczalne, to należy wyrównać podłoże.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Rzędne wysokościowe podłoża oraz urządzeń usytuowanych w nawierzchni lub ją ograniczających powinny być zgodne z dokumentacją projektową. Z podłoża powinien być zapewniony odpływ wody.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W celu polepszenia połączenia między warstwami technologicznymi nawierzchni powierzchnia podłoża powinna być w ocenie wizualnej chropowata.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Jeżeli podłoże jest nieodpowiednie, to należy ustalić, jakie specjalne środki należy podjąć przed wykonaniem warstwy asfaltowej.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Szerokie szczeliny w podłożu należy wypełnić odpowiednim materiałem, np. zalewami drogowymi według PN-EN 14188-1:2010 lub PN-EN 14188-2:2010 albo innymi materiałami według norm lub aprobat technicznych.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Na podłożu wykazującym zniszczenia w postaci siatki spękań zmęczeniowych lub spękań poprzecznych zaleca się stosowanie membrany przeciwspękaniowej, np. mieszanki mineralno-asfaltowej, warstwy SAMI lub z geosyntetyków według norm lub aprobat technicznych.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053844">
        <w:rPr>
          <w:rFonts w:ascii="Arial" w:hAnsi="Arial" w:cs="Arial"/>
          <w:b/>
        </w:rPr>
        <w:t>5.5.</w:t>
      </w:r>
      <w:r w:rsidRPr="00E10B94">
        <w:rPr>
          <w:rFonts w:ascii="Arial" w:hAnsi="Arial" w:cs="Arial"/>
        </w:rPr>
        <w:t xml:space="preserve"> Połączenie międzywarstwowe</w:t>
      </w:r>
      <w:r w:rsidR="00053844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Uzyskanie wymaganej trwałości nawierzchni jest uzależnione od zapewnienia połączenia między warstwami i ich współpracy w przenoszeniu obciążenia nawierzchni ruchem.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Podłoże powinno być skropione lepiszczem. Ma to na celu zwiększenie połączenia między warstwami konstrukcyjnymi oraz zabezpieczenie przed wnikaniem i zaleganiem wody między warstwami.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Skropienie lepiszczem podłoża (np. podbudowa asfaltowa), przed ułożeniem warstwy wiążącej z betonu asfaltowego powinno być wykonane w ilości podanej w przeliczeniu na pozostałe lepiszcze, tj. 0,3 ÷ 0,5 kg/m</w:t>
      </w:r>
      <w:r w:rsidRPr="00E10B94">
        <w:rPr>
          <w:rFonts w:ascii="Arial" w:hAnsi="Arial" w:cs="Arial"/>
          <w:vertAlign w:val="superscript"/>
        </w:rPr>
        <w:t>2</w:t>
      </w:r>
      <w:r w:rsidRPr="00E10B94">
        <w:rPr>
          <w:rFonts w:ascii="Arial" w:hAnsi="Arial" w:cs="Arial"/>
        </w:rPr>
        <w:t>, przy czym: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zaleca się stosować</w:t>
      </w:r>
      <w:r w:rsidR="00053844">
        <w:rPr>
          <w:rFonts w:ascii="Arial" w:hAnsi="Arial" w:cs="Arial"/>
        </w:rPr>
        <w:t xml:space="preserve"> emulsję modyfikowaną polimerem.</w:t>
      </w:r>
    </w:p>
    <w:p w:rsidR="0065609C" w:rsidRPr="00E10B94" w:rsidRDefault="00053844" w:rsidP="00E10B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I</w:t>
      </w:r>
      <w:r w:rsidR="0065609C" w:rsidRPr="00E10B94">
        <w:rPr>
          <w:rFonts w:ascii="Arial" w:hAnsi="Arial" w:cs="Arial"/>
        </w:rPr>
        <w:t>lość emulsji należy dobrać z uwzględnieniem stanu podłoża oraz porowatości mieszanki; jeśli mieszanka ma większą zawartość wolnych przestrzeni, to należy użyć większą ilość lepiszcza do skropienia, które po ułożeniu warstwy ścieralnej uszczelni ją.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Skrapianie podłoża należy wykonywać równomiernie stosując rampy do skrapiania,</w:t>
      </w:r>
      <w:r w:rsidR="00053844">
        <w:rPr>
          <w:rFonts w:ascii="Arial" w:hAnsi="Arial" w:cs="Arial"/>
        </w:rPr>
        <w:br/>
      </w:r>
      <w:r w:rsidRPr="00E10B94">
        <w:rPr>
          <w:rFonts w:ascii="Arial" w:hAnsi="Arial" w:cs="Arial"/>
        </w:rPr>
        <w:t>np. skrapiarki do lepiszczy asfaltowych. Dopuszcza się skrapianie ręczne lancą w miejscach trudno dostępnych (np. ścieki uliczne) oraz przy urządzeniach usytuowanych w nawierzchni lub ją ograniczających. W razie potrzeby urządzenia te należy zabezpieczyć przed zabrudzeniem. Skropione podłoże należy wyłączyć z ruchu publicznego przez zmianę organizacji ruchu.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W wypadku stosowania emulsji asfaltowej podłoże powinno być skropione 0,5 h przed układaniem warstwy asfaltowej w celu odparowania wody.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Czas ten nie dotyczy skrapiania rampą zamontowaną na rozkładarce.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053844">
        <w:rPr>
          <w:rFonts w:ascii="Arial" w:hAnsi="Arial" w:cs="Arial"/>
          <w:b/>
        </w:rPr>
        <w:t>5.8.</w:t>
      </w:r>
      <w:r w:rsidRPr="00E10B94">
        <w:rPr>
          <w:rFonts w:ascii="Arial" w:hAnsi="Arial" w:cs="Arial"/>
        </w:rPr>
        <w:t xml:space="preserve"> Wbudowanie mieszanki mineralno-asfaltowej</w:t>
      </w:r>
      <w:r w:rsidR="00053844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Mieszankę mineralno-asfaltową można wbudowywać na podłożu przygotowanym zgodnie</w:t>
      </w:r>
      <w:r w:rsidR="00053844">
        <w:rPr>
          <w:rFonts w:ascii="Arial" w:hAnsi="Arial" w:cs="Arial"/>
        </w:rPr>
        <w:br/>
      </w:r>
      <w:r w:rsidRPr="00E10B94">
        <w:rPr>
          <w:rFonts w:ascii="Arial" w:hAnsi="Arial" w:cs="Arial"/>
        </w:rPr>
        <w:t>z zapisami w punktach 5.4 i 5.5.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Transport mieszanki mineralno-asfaltowej asfaltowej powinien być zgodny z zaleceniami podanymi w punkcie 4.2.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Mieszankę mineralno-asfaltową asfaltową należy wbudowywać w odpowiednich warunkach atmosferycznych.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Temperatura otoczenia w ciągu doby nie powinna być niższa od temperatury podanej</w:t>
      </w:r>
      <w:r w:rsidR="00053844">
        <w:rPr>
          <w:rFonts w:ascii="Arial" w:hAnsi="Arial" w:cs="Arial"/>
        </w:rPr>
        <w:br/>
      </w:r>
      <w:r w:rsidRPr="00E10B94">
        <w:rPr>
          <w:rFonts w:ascii="Arial" w:hAnsi="Arial" w:cs="Arial"/>
        </w:rPr>
        <w:t>w tablicy 4. Temperatura otoczenia może być niższa w wypadku stosowania ogrzewania podłoża. Nie dopuszcza się układania mieszanki mineralno-asfaltowej asfaltowej podczas silnego wiatru (V &gt; 16 m/s).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W wypadku stosowania mieszanek mineralno-asfaltowych z dodatkiem obniżającym temperaturę mieszania i wbudowania należy indywidualnie określić wymagane warunki otoczenia.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ab/>
      </w:r>
      <w:r w:rsidRPr="007E6502">
        <w:rPr>
          <w:rFonts w:ascii="Arial" w:hAnsi="Arial" w:cs="Arial"/>
          <w:b/>
        </w:rPr>
        <w:t>Tablica 4.</w:t>
      </w:r>
      <w:r w:rsidR="007E6502">
        <w:rPr>
          <w:rFonts w:ascii="Arial" w:hAnsi="Arial" w:cs="Arial"/>
        </w:rPr>
        <w:t xml:space="preserve"> </w:t>
      </w:r>
      <w:r w:rsidRPr="00E10B94">
        <w:rPr>
          <w:rFonts w:ascii="Arial" w:hAnsi="Arial" w:cs="Arial"/>
        </w:rPr>
        <w:t>Minimalna temperatura otoczenia podczas wykonywania warstwy wiążącej  z betonu asfaltowego</w:t>
      </w:r>
      <w:r w:rsidR="007E6502">
        <w:rPr>
          <w:rFonts w:ascii="Arial" w:hAnsi="Arial" w:cs="Arial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7"/>
        <w:gridCol w:w="2693"/>
        <w:gridCol w:w="1591"/>
      </w:tblGrid>
      <w:tr w:rsidR="0065609C" w:rsidRPr="00E10B94" w:rsidTr="00BA28B2">
        <w:tc>
          <w:tcPr>
            <w:tcW w:w="3227" w:type="dxa"/>
            <w:vMerge w:val="restart"/>
            <w:vAlign w:val="center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Rodzaj robót</w:t>
            </w:r>
          </w:p>
        </w:tc>
        <w:tc>
          <w:tcPr>
            <w:tcW w:w="4284" w:type="dxa"/>
            <w:gridSpan w:val="2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Minimalna temperatura otoczenia  [°C]</w:t>
            </w:r>
          </w:p>
        </w:tc>
      </w:tr>
      <w:tr w:rsidR="0065609C" w:rsidRPr="00E10B94" w:rsidTr="00BA28B2">
        <w:tc>
          <w:tcPr>
            <w:tcW w:w="3227" w:type="dxa"/>
            <w:vMerge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693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przed przystąpieniem do robót</w:t>
            </w:r>
          </w:p>
        </w:tc>
        <w:tc>
          <w:tcPr>
            <w:tcW w:w="159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w czasie robót</w:t>
            </w:r>
          </w:p>
        </w:tc>
      </w:tr>
      <w:tr w:rsidR="0065609C" w:rsidRPr="00E10B94" w:rsidTr="00BA28B2">
        <w:tc>
          <w:tcPr>
            <w:tcW w:w="3227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Warstwa wiążąca</w:t>
            </w:r>
          </w:p>
        </w:tc>
        <w:tc>
          <w:tcPr>
            <w:tcW w:w="2693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0</w:t>
            </w:r>
          </w:p>
        </w:tc>
        <w:tc>
          <w:tcPr>
            <w:tcW w:w="159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+2</w:t>
            </w:r>
          </w:p>
        </w:tc>
      </w:tr>
    </w:tbl>
    <w:p w:rsidR="0065609C" w:rsidRPr="00E10B94" w:rsidRDefault="0065609C" w:rsidP="00E10B94">
      <w:pPr>
        <w:jc w:val="both"/>
        <w:rPr>
          <w:rFonts w:ascii="Arial" w:hAnsi="Arial" w:cs="Arial"/>
        </w:rPr>
      </w:pP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Właściwości wykonanej warstwy powinny spełniać warunki podane w tablicy 5.</w:t>
      </w:r>
    </w:p>
    <w:p w:rsidR="0065609C" w:rsidRDefault="0065609C" w:rsidP="00E10B94">
      <w:pPr>
        <w:jc w:val="both"/>
        <w:rPr>
          <w:rFonts w:ascii="Arial" w:hAnsi="Arial" w:cs="Arial"/>
        </w:rPr>
      </w:pPr>
    </w:p>
    <w:p w:rsidR="007E6502" w:rsidRPr="00E10B94" w:rsidRDefault="007E6502" w:rsidP="00E10B94">
      <w:pPr>
        <w:jc w:val="both"/>
        <w:rPr>
          <w:rFonts w:ascii="Arial" w:hAnsi="Arial" w:cs="Arial"/>
        </w:rPr>
      </w:pP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7E6502">
        <w:rPr>
          <w:rFonts w:ascii="Arial" w:hAnsi="Arial" w:cs="Arial"/>
          <w:b/>
        </w:rPr>
        <w:lastRenderedPageBreak/>
        <w:t>Tablica 5.</w:t>
      </w:r>
      <w:r w:rsidRPr="00E10B94">
        <w:rPr>
          <w:rFonts w:ascii="Arial" w:hAnsi="Arial" w:cs="Arial"/>
        </w:rPr>
        <w:t xml:space="preserve"> Właściwości warstwy AC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88"/>
        <w:gridCol w:w="1733"/>
        <w:gridCol w:w="1878"/>
        <w:gridCol w:w="1878"/>
      </w:tblGrid>
      <w:tr w:rsidR="0065609C" w:rsidRPr="00E10B94" w:rsidTr="00BA28B2">
        <w:tc>
          <w:tcPr>
            <w:tcW w:w="2088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Typ i wymiar mieszanki</w:t>
            </w:r>
          </w:p>
        </w:tc>
        <w:tc>
          <w:tcPr>
            <w:tcW w:w="1667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Projektowana grubość warstwy technologicznej [cm]</w:t>
            </w:r>
          </w:p>
        </w:tc>
        <w:tc>
          <w:tcPr>
            <w:tcW w:w="1878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 xml:space="preserve">Wskaźnik zagęszczenia </w:t>
            </w: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[%]</w:t>
            </w:r>
          </w:p>
        </w:tc>
        <w:tc>
          <w:tcPr>
            <w:tcW w:w="1878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Zawartość wolnych przestrzeni w warstwie</w:t>
            </w: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[%(v/v)]</w:t>
            </w:r>
          </w:p>
        </w:tc>
      </w:tr>
      <w:tr w:rsidR="0065609C" w:rsidRPr="00E10B94" w:rsidTr="00BA28B2">
        <w:tc>
          <w:tcPr>
            <w:tcW w:w="2088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  <w:vertAlign w:val="superscript"/>
              </w:rPr>
            </w:pPr>
            <w:r w:rsidRPr="00E10B94">
              <w:rPr>
                <w:rFonts w:ascii="Arial" w:hAnsi="Arial" w:cs="Arial"/>
              </w:rPr>
              <w:t xml:space="preserve">AC16W, </w:t>
            </w:r>
            <w:r w:rsidRPr="00E10B94">
              <w:rPr>
                <w:rFonts w:ascii="Arial" w:hAnsi="Arial" w:cs="Arial"/>
                <w:vertAlign w:val="superscript"/>
              </w:rPr>
              <w:t>E)</w:t>
            </w:r>
          </w:p>
        </w:tc>
        <w:tc>
          <w:tcPr>
            <w:tcW w:w="1667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5,0 ÷ 10,0</w:t>
            </w:r>
          </w:p>
        </w:tc>
        <w:tc>
          <w:tcPr>
            <w:tcW w:w="1878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≥ 98</w:t>
            </w:r>
          </w:p>
        </w:tc>
        <w:tc>
          <w:tcPr>
            <w:tcW w:w="1878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4,0 ÷ 7,0</w:t>
            </w:r>
          </w:p>
        </w:tc>
      </w:tr>
      <w:tr w:rsidR="0065609C" w:rsidRPr="00E10B94" w:rsidTr="00BA28B2">
        <w:tc>
          <w:tcPr>
            <w:tcW w:w="2088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  <w:vertAlign w:val="superscript"/>
              </w:rPr>
            </w:pPr>
            <w:r w:rsidRPr="00E10B94">
              <w:rPr>
                <w:rFonts w:ascii="Arial" w:hAnsi="Arial" w:cs="Arial"/>
              </w:rPr>
              <w:t xml:space="preserve">AC16W, </w:t>
            </w:r>
            <w:r w:rsidRPr="00E10B94">
              <w:rPr>
                <w:rFonts w:ascii="Arial" w:hAnsi="Arial" w:cs="Arial"/>
                <w:vertAlign w:val="superscript"/>
              </w:rPr>
              <w:t>F)</w:t>
            </w:r>
          </w:p>
        </w:tc>
        <w:tc>
          <w:tcPr>
            <w:tcW w:w="1667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5,0 ÷ 10,0</w:t>
            </w:r>
          </w:p>
        </w:tc>
        <w:tc>
          <w:tcPr>
            <w:tcW w:w="1878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≥ 98</w:t>
            </w:r>
          </w:p>
        </w:tc>
        <w:tc>
          <w:tcPr>
            <w:tcW w:w="1878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4,0 ÷ 7,0</w:t>
            </w:r>
          </w:p>
        </w:tc>
      </w:tr>
    </w:tbl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  <w:vertAlign w:val="superscript"/>
        </w:rPr>
        <w:t>E)</w:t>
      </w:r>
      <w:r w:rsidRPr="00E10B94">
        <w:rPr>
          <w:rFonts w:ascii="Arial" w:hAnsi="Arial" w:cs="Arial"/>
        </w:rPr>
        <w:t xml:space="preserve"> projektowanie empiryczne,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  <w:vertAlign w:val="superscript"/>
        </w:rPr>
        <w:t>F)</w:t>
      </w:r>
      <w:r w:rsidRPr="00E10B94">
        <w:rPr>
          <w:rFonts w:ascii="Arial" w:hAnsi="Arial" w:cs="Arial"/>
        </w:rPr>
        <w:t xml:space="preserve"> projektowanie funkcjonalne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Mieszanka mineralno-asfaltowa powinna być wbudowywana rozkładarką wyposażoną</w:t>
      </w:r>
      <w:r w:rsidR="007E6502">
        <w:rPr>
          <w:rFonts w:ascii="Arial" w:hAnsi="Arial" w:cs="Arial"/>
        </w:rPr>
        <w:br/>
      </w:r>
      <w:r w:rsidRPr="00E10B94">
        <w:rPr>
          <w:rFonts w:ascii="Arial" w:hAnsi="Arial" w:cs="Arial"/>
        </w:rPr>
        <w:t>w układ automatycznego sterowania grubości warstwy i utrzymywania niwelety zgodnie</w:t>
      </w:r>
      <w:r w:rsidR="007E6502">
        <w:rPr>
          <w:rFonts w:ascii="Arial" w:hAnsi="Arial" w:cs="Arial"/>
        </w:rPr>
        <w:br/>
      </w:r>
      <w:r w:rsidRPr="00E10B94">
        <w:rPr>
          <w:rFonts w:ascii="Arial" w:hAnsi="Arial" w:cs="Arial"/>
        </w:rPr>
        <w:t>z dokumentacją projektową. W miejscach niedostępnych dla sprzętu dopuszcza się wbudowywanie ręczne.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 xml:space="preserve">Grubość wykonywanej warstwy powinna być sprawdzana co </w:t>
      </w:r>
      <w:smartTag w:uri="urn:schemas-microsoft-com:office:smarttags" w:element="metricconverter">
        <w:smartTagPr>
          <w:attr w:name="ProductID" w:val="25 m"/>
        </w:smartTagPr>
        <w:r w:rsidRPr="00E10B94">
          <w:rPr>
            <w:rFonts w:ascii="Arial" w:hAnsi="Arial" w:cs="Arial"/>
          </w:rPr>
          <w:t>25 m</w:t>
        </w:r>
      </w:smartTag>
      <w:r w:rsidRPr="00E10B94">
        <w:rPr>
          <w:rFonts w:ascii="Arial" w:hAnsi="Arial" w:cs="Arial"/>
        </w:rPr>
        <w:t>, w co najmniej trzech miejscach (w osi i przy brzegach warstwy).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Warstwy wałowane powinny być równomiernie zagęszczone ciężkimi walcami drogowymi. Do warstw z betonu asfaltowego należy stosować walce drogowe stalowe gładkie</w:t>
      </w:r>
      <w:r w:rsidR="007E6502">
        <w:rPr>
          <w:rFonts w:ascii="Arial" w:hAnsi="Arial" w:cs="Arial"/>
        </w:rPr>
        <w:br/>
      </w:r>
      <w:r w:rsidRPr="00E10B94">
        <w:rPr>
          <w:rFonts w:ascii="Arial" w:hAnsi="Arial" w:cs="Arial"/>
        </w:rPr>
        <w:t xml:space="preserve">z możliwością wibracji, oscylacji lub walce ogumione. 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7E6502">
        <w:rPr>
          <w:rFonts w:ascii="Arial" w:hAnsi="Arial" w:cs="Arial"/>
          <w:b/>
        </w:rPr>
        <w:t>5.9.</w:t>
      </w:r>
      <w:r w:rsidRPr="00E10B94">
        <w:rPr>
          <w:rFonts w:ascii="Arial" w:hAnsi="Arial" w:cs="Arial"/>
        </w:rPr>
        <w:t xml:space="preserve"> Połączenia technologiczne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Połączenia technologiczne należy wykonać zgodnie z WT-2 Nawierzchnie asfaltowe 2008 punkt 8.6.</w:t>
      </w:r>
      <w:bookmarkStart w:id="8" w:name="_Toc237920704"/>
    </w:p>
    <w:p w:rsidR="0065609C" w:rsidRPr="007E6502" w:rsidRDefault="0065609C" w:rsidP="00E10B94">
      <w:pPr>
        <w:jc w:val="both"/>
        <w:rPr>
          <w:rFonts w:ascii="Arial" w:hAnsi="Arial" w:cs="Arial"/>
          <w:b/>
        </w:rPr>
      </w:pPr>
      <w:r w:rsidRPr="007E6502">
        <w:rPr>
          <w:rFonts w:ascii="Arial" w:hAnsi="Arial" w:cs="Arial"/>
          <w:b/>
        </w:rPr>
        <w:t xml:space="preserve">6. </w:t>
      </w:r>
      <w:bookmarkEnd w:id="8"/>
      <w:r w:rsidRPr="007E6502">
        <w:rPr>
          <w:rFonts w:ascii="Arial" w:hAnsi="Arial" w:cs="Arial"/>
          <w:b/>
        </w:rPr>
        <w:t>KONTROLA JAKOŚCI ROBÓT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7E6502">
        <w:rPr>
          <w:rFonts w:ascii="Arial" w:hAnsi="Arial" w:cs="Arial"/>
          <w:b/>
        </w:rPr>
        <w:t>6.1.</w:t>
      </w:r>
      <w:r w:rsidRPr="00E10B94">
        <w:rPr>
          <w:rFonts w:ascii="Arial" w:hAnsi="Arial" w:cs="Arial"/>
        </w:rPr>
        <w:t xml:space="preserve"> Ogólne zasady kontroli jakości robót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Ogólne zasady kontroli jakości robót podano w SSTWiORB   D-M-00.00.00 „Wymagania ogólne” pkt 6.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7E6502">
        <w:rPr>
          <w:rFonts w:ascii="Arial" w:hAnsi="Arial" w:cs="Arial"/>
          <w:b/>
        </w:rPr>
        <w:t>6.2.</w:t>
      </w:r>
      <w:r w:rsidRPr="00E10B94">
        <w:rPr>
          <w:rFonts w:ascii="Arial" w:hAnsi="Arial" w:cs="Arial"/>
        </w:rPr>
        <w:t xml:space="preserve"> Badania przed przystąpieniem do robót</w:t>
      </w:r>
      <w:r w:rsidR="007E6502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Przed przystąpieniem do robót Wykonawca powinien:</w:t>
      </w:r>
    </w:p>
    <w:p w:rsidR="007E6502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uzyskać wymagane dokumenty, dopuszczające wyroby budowlane do obrotu</w:t>
      </w:r>
      <w:r w:rsidR="007E6502">
        <w:rPr>
          <w:rFonts w:ascii="Arial" w:hAnsi="Arial" w:cs="Arial"/>
        </w:rPr>
        <w:br/>
      </w:r>
      <w:r w:rsidRPr="00E10B94">
        <w:rPr>
          <w:rFonts w:ascii="Arial" w:hAnsi="Arial" w:cs="Arial"/>
        </w:rPr>
        <w:t>i powszechnego stosowania (np. stwierdzenie o oznakowaniu materiału znakiem CE lub znakiem budowlanym B, certyfikat zgodności, deklarację zgodności, aprobatę techniczną, ew. badania materiałów wykonane przez dostawców itp.),</w:t>
      </w:r>
      <w:r w:rsidR="007E6502">
        <w:rPr>
          <w:rFonts w:ascii="Arial" w:hAnsi="Arial" w:cs="Arial"/>
        </w:rPr>
        <w:t xml:space="preserve"> </w:t>
      </w:r>
      <w:r w:rsidRPr="00E10B94">
        <w:rPr>
          <w:rFonts w:ascii="Arial" w:hAnsi="Arial" w:cs="Arial"/>
        </w:rPr>
        <w:t>ew. wykonać własne badania właściwości materiałów przeznaczonych do wykonania robót, określone przez In</w:t>
      </w:r>
      <w:r w:rsidR="007E6502">
        <w:rPr>
          <w:rFonts w:ascii="Arial" w:hAnsi="Arial" w:cs="Arial"/>
        </w:rPr>
        <w:t>spektora Nadzoru</w:t>
      </w:r>
      <w:r w:rsidRPr="00E10B94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lastRenderedPageBreak/>
        <w:t>Wszystkie dokumenty oraz wyniki badań Wykonawca przedstawia In</w:t>
      </w:r>
      <w:r w:rsidR="007E6502">
        <w:rPr>
          <w:rFonts w:ascii="Arial" w:hAnsi="Arial" w:cs="Arial"/>
        </w:rPr>
        <w:t>spektorowi Nadzoru</w:t>
      </w:r>
      <w:r w:rsidRPr="00E10B94">
        <w:rPr>
          <w:rFonts w:ascii="Arial" w:hAnsi="Arial" w:cs="Arial"/>
        </w:rPr>
        <w:t xml:space="preserve"> do akceptacji.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7E6502">
        <w:rPr>
          <w:rFonts w:ascii="Arial" w:hAnsi="Arial" w:cs="Arial"/>
          <w:b/>
        </w:rPr>
        <w:t>6.3.</w:t>
      </w:r>
      <w:r w:rsidRPr="00E10B94">
        <w:rPr>
          <w:rFonts w:ascii="Arial" w:hAnsi="Arial" w:cs="Arial"/>
        </w:rPr>
        <w:t xml:space="preserve"> Badania w czasie robót</w:t>
      </w:r>
      <w:r w:rsidR="007E6502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  <w:b/>
        </w:rPr>
        <w:t xml:space="preserve">6.3.1. </w:t>
      </w:r>
      <w:r w:rsidRPr="00E10B94">
        <w:rPr>
          <w:rFonts w:ascii="Arial" w:hAnsi="Arial" w:cs="Arial"/>
        </w:rPr>
        <w:t>Uwagi ogólne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Badania dzielą się na:</w:t>
      </w:r>
    </w:p>
    <w:p w:rsidR="0065609C" w:rsidRPr="00E10B94" w:rsidRDefault="007E6502" w:rsidP="00E10B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65609C" w:rsidRPr="00E10B94">
        <w:rPr>
          <w:rFonts w:ascii="Arial" w:hAnsi="Arial" w:cs="Arial"/>
        </w:rPr>
        <w:t>badania wykonawcy (w ramach własnego nadzoru),</w:t>
      </w:r>
    </w:p>
    <w:p w:rsidR="0065609C" w:rsidRPr="00E10B94" w:rsidRDefault="007E6502" w:rsidP="00E10B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65609C" w:rsidRPr="00E10B94">
        <w:rPr>
          <w:rFonts w:ascii="Arial" w:hAnsi="Arial" w:cs="Arial"/>
        </w:rPr>
        <w:t>badania kontrolne (w ramach nadzoru zleceniodawcy – In</w:t>
      </w:r>
      <w:r>
        <w:rPr>
          <w:rFonts w:ascii="Arial" w:hAnsi="Arial" w:cs="Arial"/>
        </w:rPr>
        <w:t>spektora Nadzoru</w:t>
      </w:r>
      <w:r w:rsidR="0065609C" w:rsidRPr="00E10B94">
        <w:rPr>
          <w:rFonts w:ascii="Arial" w:hAnsi="Arial" w:cs="Arial"/>
        </w:rPr>
        <w:t>).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  <w:b/>
        </w:rPr>
        <w:t xml:space="preserve">6.3.2. </w:t>
      </w:r>
      <w:r w:rsidRPr="00E10B94">
        <w:rPr>
          <w:rFonts w:ascii="Arial" w:hAnsi="Arial" w:cs="Arial"/>
        </w:rPr>
        <w:t>Badania Wykonawcy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Badania Wykonawcy są wykonywane przez Wykonawcę lub jego zleceniobiorców celem sprawdzenia, czy jakość materiałów budowlanych (mieszanek mineralno-asfaltowych</w:t>
      </w:r>
      <w:r w:rsidR="007E6502">
        <w:rPr>
          <w:rFonts w:ascii="Arial" w:hAnsi="Arial" w:cs="Arial"/>
        </w:rPr>
        <w:br/>
      </w:r>
      <w:r w:rsidRPr="00E10B94">
        <w:rPr>
          <w:rFonts w:ascii="Arial" w:hAnsi="Arial" w:cs="Arial"/>
        </w:rPr>
        <w:t>i ich składników, lepiszczy i materiałów do uszczelnień</w:t>
      </w:r>
      <w:r w:rsidR="007E6502">
        <w:rPr>
          <w:rFonts w:ascii="Arial" w:hAnsi="Arial" w:cs="Arial"/>
        </w:rPr>
        <w:t>,</w:t>
      </w:r>
      <w:r w:rsidRPr="00E10B94">
        <w:rPr>
          <w:rFonts w:ascii="Arial" w:hAnsi="Arial" w:cs="Arial"/>
        </w:rPr>
        <w:t xml:space="preserve"> itp.) oraz gotowej warstwy (wbudowane warstwy asfaltowe, połączenia</w:t>
      </w:r>
      <w:r w:rsidR="007E6502">
        <w:rPr>
          <w:rFonts w:ascii="Arial" w:hAnsi="Arial" w:cs="Arial"/>
        </w:rPr>
        <w:t>,</w:t>
      </w:r>
      <w:r w:rsidRPr="00E10B94">
        <w:rPr>
          <w:rFonts w:ascii="Arial" w:hAnsi="Arial" w:cs="Arial"/>
        </w:rPr>
        <w:t xml:space="preserve"> itp.) spełniają wymagania określone</w:t>
      </w:r>
      <w:r w:rsidR="007E6502">
        <w:rPr>
          <w:rFonts w:ascii="Arial" w:hAnsi="Arial" w:cs="Arial"/>
        </w:rPr>
        <w:br/>
      </w:r>
      <w:r w:rsidRPr="00E10B94">
        <w:rPr>
          <w:rFonts w:ascii="Arial" w:hAnsi="Arial" w:cs="Arial"/>
        </w:rPr>
        <w:t xml:space="preserve">w </w:t>
      </w:r>
      <w:r w:rsidR="007E6502">
        <w:rPr>
          <w:rFonts w:ascii="Arial" w:hAnsi="Arial" w:cs="Arial"/>
        </w:rPr>
        <w:t>umowie</w:t>
      </w:r>
      <w:r w:rsidRPr="00E10B94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 xml:space="preserve">Wykonawca powinien wykonywać te badania podczas realizacji </w:t>
      </w:r>
      <w:r w:rsidR="007E6502">
        <w:rPr>
          <w:rFonts w:ascii="Arial" w:hAnsi="Arial" w:cs="Arial"/>
        </w:rPr>
        <w:t>umowy</w:t>
      </w:r>
      <w:r w:rsidRPr="00E10B94">
        <w:rPr>
          <w:rFonts w:ascii="Arial" w:hAnsi="Arial" w:cs="Arial"/>
        </w:rPr>
        <w:t xml:space="preserve">, z niezbędną starannością i w wymaganym zakresie. Wyniki należy zapisywać w protokołach. W razie stwierdzenia uchybień w stosunku do wymagań </w:t>
      </w:r>
      <w:r w:rsidR="007E6502">
        <w:rPr>
          <w:rFonts w:ascii="Arial" w:hAnsi="Arial" w:cs="Arial"/>
        </w:rPr>
        <w:t>umowy</w:t>
      </w:r>
      <w:r w:rsidRPr="00E10B94">
        <w:rPr>
          <w:rFonts w:ascii="Arial" w:hAnsi="Arial" w:cs="Arial"/>
        </w:rPr>
        <w:t>, ich przyczyny należy niezwłocznie usunąć.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Wyniki badań Wykonawcy należy przekazywać In</w:t>
      </w:r>
      <w:r w:rsidR="007E6502">
        <w:rPr>
          <w:rFonts w:ascii="Arial" w:hAnsi="Arial" w:cs="Arial"/>
        </w:rPr>
        <w:t>spektorowi Nadzoru</w:t>
      </w:r>
      <w:r w:rsidRPr="00E10B94">
        <w:rPr>
          <w:rFonts w:ascii="Arial" w:hAnsi="Arial" w:cs="Arial"/>
        </w:rPr>
        <w:t xml:space="preserve"> na jego żądanie. In</w:t>
      </w:r>
      <w:r w:rsidR="007E6502">
        <w:rPr>
          <w:rFonts w:ascii="Arial" w:hAnsi="Arial" w:cs="Arial"/>
        </w:rPr>
        <w:t>spektor Nadzoru</w:t>
      </w:r>
      <w:r w:rsidRPr="00E10B94">
        <w:rPr>
          <w:rFonts w:ascii="Arial" w:hAnsi="Arial" w:cs="Arial"/>
        </w:rPr>
        <w:t xml:space="preserve"> może zdecydować o dokonaniu odbioru na podstawie badań Wykonawcy. W razie zastrzeżeń In</w:t>
      </w:r>
      <w:r w:rsidR="007E6502">
        <w:rPr>
          <w:rFonts w:ascii="Arial" w:hAnsi="Arial" w:cs="Arial"/>
        </w:rPr>
        <w:t>spektor Nadzoru</w:t>
      </w:r>
      <w:r w:rsidRPr="00E10B94">
        <w:rPr>
          <w:rFonts w:ascii="Arial" w:hAnsi="Arial" w:cs="Arial"/>
        </w:rPr>
        <w:t xml:space="preserve"> może przeprowadzić badania kontrolne według pkt</w:t>
      </w:r>
      <w:r w:rsidR="007E6502">
        <w:rPr>
          <w:rFonts w:ascii="Arial" w:hAnsi="Arial" w:cs="Arial"/>
        </w:rPr>
        <w:t>-</w:t>
      </w:r>
      <w:r w:rsidRPr="00E10B94">
        <w:rPr>
          <w:rFonts w:ascii="Arial" w:hAnsi="Arial" w:cs="Arial"/>
        </w:rPr>
        <w:t>u 6.3.3.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Zakres badań Wykonawcy związany z wykonywaniem nawierzchni:</w:t>
      </w:r>
    </w:p>
    <w:p w:rsidR="0065609C" w:rsidRPr="00E10B94" w:rsidRDefault="007E6502" w:rsidP="00E10B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65609C" w:rsidRPr="00E10B94">
        <w:rPr>
          <w:rFonts w:ascii="Arial" w:hAnsi="Arial" w:cs="Arial"/>
        </w:rPr>
        <w:t>pomiar temperatury powietrza,</w:t>
      </w:r>
    </w:p>
    <w:p w:rsidR="0065609C" w:rsidRPr="00E10B94" w:rsidRDefault="007E6502" w:rsidP="00E10B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65609C" w:rsidRPr="00E10B94">
        <w:rPr>
          <w:rFonts w:ascii="Arial" w:hAnsi="Arial" w:cs="Arial"/>
        </w:rPr>
        <w:t>pomiar temperatury mieszanki mineralno-asfaltowej podczas wykonywania nawierzchni (wg PN-EN 12697-13:2005),</w:t>
      </w:r>
    </w:p>
    <w:p w:rsidR="0065609C" w:rsidRPr="00E10B94" w:rsidRDefault="007E6502" w:rsidP="00E10B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65609C" w:rsidRPr="00E10B94">
        <w:rPr>
          <w:rFonts w:ascii="Arial" w:hAnsi="Arial" w:cs="Arial"/>
        </w:rPr>
        <w:t>ocena wizualna mieszanki mineralno-asfaltowej,</w:t>
      </w:r>
    </w:p>
    <w:p w:rsidR="0065609C" w:rsidRPr="00E10B94" w:rsidRDefault="007E6502" w:rsidP="00E10B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65609C" w:rsidRPr="00E10B94">
        <w:rPr>
          <w:rFonts w:ascii="Arial" w:hAnsi="Arial" w:cs="Arial"/>
        </w:rPr>
        <w:t>wykaz ilości materiałów lub grubości wykonanej warstwy,</w:t>
      </w:r>
    </w:p>
    <w:p w:rsidR="0065609C" w:rsidRPr="00E10B94" w:rsidRDefault="007E6502" w:rsidP="00E10B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65609C" w:rsidRPr="00E10B94">
        <w:rPr>
          <w:rFonts w:ascii="Arial" w:hAnsi="Arial" w:cs="Arial"/>
        </w:rPr>
        <w:t>pomiar spadku poprzecznego warstwy asfaltowej,</w:t>
      </w:r>
    </w:p>
    <w:p w:rsidR="0065609C" w:rsidRPr="00E10B94" w:rsidRDefault="007E6502" w:rsidP="00E10B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65609C" w:rsidRPr="00E10B94">
        <w:rPr>
          <w:rFonts w:ascii="Arial" w:hAnsi="Arial" w:cs="Arial"/>
        </w:rPr>
        <w:t>pomiar równości warstwy asfaltowej (wg pktu 6.4.2.5),</w:t>
      </w:r>
    </w:p>
    <w:p w:rsidR="0065609C" w:rsidRPr="00E10B94" w:rsidRDefault="007E6502" w:rsidP="00E10B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65609C" w:rsidRPr="00E10B94">
        <w:rPr>
          <w:rFonts w:ascii="Arial" w:hAnsi="Arial" w:cs="Arial"/>
        </w:rPr>
        <w:t>pomiar parametrów geometrycznych poboczy,</w:t>
      </w:r>
    </w:p>
    <w:p w:rsidR="0065609C" w:rsidRPr="00E10B94" w:rsidRDefault="007E6502" w:rsidP="00E10B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65609C" w:rsidRPr="00E10B94">
        <w:rPr>
          <w:rFonts w:ascii="Arial" w:hAnsi="Arial" w:cs="Arial"/>
        </w:rPr>
        <w:t>ocena wizualna jednorodności powierzchni warstwy,</w:t>
      </w:r>
    </w:p>
    <w:p w:rsidR="0065609C" w:rsidRDefault="007E6502" w:rsidP="00E10B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65609C" w:rsidRPr="00E10B94">
        <w:rPr>
          <w:rFonts w:ascii="Arial" w:hAnsi="Arial" w:cs="Arial"/>
        </w:rPr>
        <w:t>ocena wizualna jakości wykonania połączeń technologicznych.</w:t>
      </w:r>
    </w:p>
    <w:p w:rsidR="007E6502" w:rsidRPr="00E10B94" w:rsidRDefault="007E6502" w:rsidP="00E10B94">
      <w:pPr>
        <w:jc w:val="both"/>
        <w:rPr>
          <w:rFonts w:ascii="Arial" w:hAnsi="Arial" w:cs="Arial"/>
        </w:rPr>
      </w:pP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  <w:b/>
        </w:rPr>
        <w:lastRenderedPageBreak/>
        <w:t xml:space="preserve">6.3.3. </w:t>
      </w:r>
      <w:r w:rsidRPr="00E10B94">
        <w:rPr>
          <w:rFonts w:ascii="Arial" w:hAnsi="Arial" w:cs="Arial"/>
        </w:rPr>
        <w:t>Badania kontrolne</w:t>
      </w:r>
      <w:r w:rsidR="007E6502">
        <w:rPr>
          <w:rFonts w:ascii="Arial" w:hAnsi="Arial" w:cs="Arial"/>
        </w:rPr>
        <w:t>.</w:t>
      </w:r>
      <w:r w:rsidRPr="00E10B94">
        <w:rPr>
          <w:rFonts w:ascii="Arial" w:hAnsi="Arial" w:cs="Arial"/>
        </w:rPr>
        <w:t xml:space="preserve"> 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Badania kontrolne są badaniami In</w:t>
      </w:r>
      <w:r w:rsidR="007E6502">
        <w:rPr>
          <w:rFonts w:ascii="Arial" w:hAnsi="Arial" w:cs="Arial"/>
        </w:rPr>
        <w:t>spektora Nadzoru</w:t>
      </w:r>
      <w:r w:rsidRPr="00E10B94">
        <w:rPr>
          <w:rFonts w:ascii="Arial" w:hAnsi="Arial" w:cs="Arial"/>
        </w:rPr>
        <w:t>, których celem jest sprawdzenie,</w:t>
      </w:r>
      <w:r w:rsidR="00246309">
        <w:rPr>
          <w:rFonts w:ascii="Arial" w:hAnsi="Arial" w:cs="Arial"/>
        </w:rPr>
        <w:br/>
      </w:r>
      <w:r w:rsidRPr="00E10B94">
        <w:rPr>
          <w:rFonts w:ascii="Arial" w:hAnsi="Arial" w:cs="Arial"/>
        </w:rPr>
        <w:t xml:space="preserve"> czy jakość materiałów budowlanych (mieszanek mineralno-asfaltowych i ich składników, lepiszczy i materiałów do uszczelnień</w:t>
      </w:r>
      <w:r w:rsidR="007E6502">
        <w:rPr>
          <w:rFonts w:ascii="Arial" w:hAnsi="Arial" w:cs="Arial"/>
        </w:rPr>
        <w:t>,</w:t>
      </w:r>
      <w:r w:rsidRPr="00E10B94">
        <w:rPr>
          <w:rFonts w:ascii="Arial" w:hAnsi="Arial" w:cs="Arial"/>
        </w:rPr>
        <w:t xml:space="preserve"> itp.) oraz gotowej warstwy (wbudowane warstwy asfaltowe, połączenia</w:t>
      </w:r>
      <w:r w:rsidR="007E6502">
        <w:rPr>
          <w:rFonts w:ascii="Arial" w:hAnsi="Arial" w:cs="Arial"/>
        </w:rPr>
        <w:t>,</w:t>
      </w:r>
      <w:r w:rsidRPr="00E10B94">
        <w:rPr>
          <w:rFonts w:ascii="Arial" w:hAnsi="Arial" w:cs="Arial"/>
        </w:rPr>
        <w:t xml:space="preserve"> itp.) spełniają wymagania określone w kontrakcie. Wyniki tych badań są podstawą odbioru. Pobieraniem próbek i wykonaniem badań na miejscu budowy zajmuje się In</w:t>
      </w:r>
      <w:r w:rsidR="00246309">
        <w:rPr>
          <w:rFonts w:ascii="Arial" w:hAnsi="Arial" w:cs="Arial"/>
        </w:rPr>
        <w:t>spektor Nadzoru</w:t>
      </w:r>
      <w:r w:rsidRPr="00E10B94">
        <w:rPr>
          <w:rFonts w:ascii="Arial" w:hAnsi="Arial" w:cs="Arial"/>
        </w:rPr>
        <w:t xml:space="preserve"> w obecności Wykonawcy. Badania odbywają się również wtedy,</w:t>
      </w:r>
      <w:r w:rsidR="00246309">
        <w:rPr>
          <w:rFonts w:ascii="Arial" w:hAnsi="Arial" w:cs="Arial"/>
        </w:rPr>
        <w:br/>
      </w:r>
      <w:r w:rsidRPr="00E10B94">
        <w:rPr>
          <w:rFonts w:ascii="Arial" w:hAnsi="Arial" w:cs="Arial"/>
        </w:rPr>
        <w:t>gdy Wykonawca zostanie w porę powiadomiony o ich terminie, jednak nie będzie przy nich obecny.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Rodzaj badań kontrolnych mieszanki mineralno-asfaltowej i wykonanej z niej warstwy podano w tablicy 6.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246309">
        <w:rPr>
          <w:rFonts w:ascii="Arial" w:hAnsi="Arial" w:cs="Arial"/>
          <w:b/>
        </w:rPr>
        <w:t>Tablica 6.</w:t>
      </w:r>
      <w:r w:rsidRPr="00E10B94">
        <w:rPr>
          <w:rFonts w:ascii="Arial" w:hAnsi="Arial" w:cs="Arial"/>
        </w:rPr>
        <w:t xml:space="preserve"> Rodzaj badań kontrolnych</w:t>
      </w: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3"/>
        <w:gridCol w:w="5670"/>
      </w:tblGrid>
      <w:tr w:rsidR="0065609C" w:rsidRPr="00E10B94" w:rsidTr="00BA28B2">
        <w:tc>
          <w:tcPr>
            <w:tcW w:w="2263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Lp.</w:t>
            </w:r>
          </w:p>
        </w:tc>
        <w:tc>
          <w:tcPr>
            <w:tcW w:w="5670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Rodzaj badań</w:t>
            </w:r>
          </w:p>
        </w:tc>
      </w:tr>
      <w:tr w:rsidR="0065609C" w:rsidRPr="00E10B94" w:rsidTr="00BA28B2">
        <w:tc>
          <w:tcPr>
            <w:tcW w:w="2263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1</w:t>
            </w: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1.1</w:t>
            </w: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1.2</w:t>
            </w: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1.3</w:t>
            </w: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1.4</w:t>
            </w: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2</w:t>
            </w: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2.1</w:t>
            </w: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2.2</w:t>
            </w: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2.3</w:t>
            </w: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2.4</w:t>
            </w: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2.5</w:t>
            </w: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2.6</w:t>
            </w:r>
          </w:p>
        </w:tc>
        <w:tc>
          <w:tcPr>
            <w:tcW w:w="5670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  <w:vertAlign w:val="superscript"/>
              </w:rPr>
            </w:pPr>
            <w:r w:rsidRPr="00E10B94">
              <w:rPr>
                <w:rFonts w:ascii="Arial" w:hAnsi="Arial" w:cs="Arial"/>
              </w:rPr>
              <w:t xml:space="preserve">Mieszanka mineralno-asfaltowa </w:t>
            </w:r>
            <w:r w:rsidRPr="00E10B94">
              <w:rPr>
                <w:rFonts w:ascii="Arial" w:hAnsi="Arial" w:cs="Arial"/>
                <w:vertAlign w:val="superscript"/>
              </w:rPr>
              <w:t>a), b)</w:t>
            </w: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Uziarnienie</w:t>
            </w: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Zawartość lepiszcza</w:t>
            </w: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Temperatura mięknienia lepiszcza odzyskanego</w:t>
            </w: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Gęstość i zawartość wolnych przestrzeni próbki</w:t>
            </w: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Warstwa asfaltowa</w:t>
            </w: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 xml:space="preserve">Wskaźnik zagęszczenia </w:t>
            </w:r>
            <w:r w:rsidRPr="00E10B94">
              <w:rPr>
                <w:rFonts w:ascii="Arial" w:hAnsi="Arial" w:cs="Arial"/>
                <w:vertAlign w:val="superscript"/>
              </w:rPr>
              <w:t>a)</w:t>
            </w: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Spadki poprzeczne</w:t>
            </w: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Równość</w:t>
            </w: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Grubość lub ilość materiału</w:t>
            </w: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 xml:space="preserve">Zawartość wolnych przestrzeni </w:t>
            </w:r>
            <w:r w:rsidRPr="00E10B94">
              <w:rPr>
                <w:rFonts w:ascii="Arial" w:hAnsi="Arial" w:cs="Arial"/>
                <w:vertAlign w:val="superscript"/>
              </w:rPr>
              <w:t>a)</w:t>
            </w: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Właściwości przeciwpoślizgowe</w:t>
            </w:r>
          </w:p>
        </w:tc>
      </w:tr>
      <w:tr w:rsidR="0065609C" w:rsidRPr="00E10B94" w:rsidTr="00BA28B2">
        <w:tc>
          <w:tcPr>
            <w:tcW w:w="7933" w:type="dxa"/>
            <w:gridSpan w:val="2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  <w:vertAlign w:val="superscript"/>
              </w:rPr>
              <w:t>a)</w:t>
            </w:r>
            <w:r w:rsidRPr="00E10B94">
              <w:rPr>
                <w:rFonts w:ascii="Arial" w:hAnsi="Arial" w:cs="Arial"/>
              </w:rPr>
              <w:t xml:space="preserve"> do każdej warstwy i na każde rozpoczęte </w:t>
            </w:r>
            <w:smartTag w:uri="urn:schemas-microsoft-com:office:smarttags" w:element="metricconverter">
              <w:smartTagPr>
                <w:attr w:name="ProductID" w:val="6ﾠ000 m2"/>
              </w:smartTagPr>
              <w:r w:rsidRPr="00E10B94">
                <w:rPr>
                  <w:rFonts w:ascii="Arial" w:hAnsi="Arial" w:cs="Arial"/>
                </w:rPr>
                <w:t>6 000 m</w:t>
              </w:r>
              <w:r w:rsidRPr="00E10B94">
                <w:rPr>
                  <w:rFonts w:ascii="Arial" w:hAnsi="Arial" w:cs="Arial"/>
                  <w:vertAlign w:val="superscript"/>
                </w:rPr>
                <w:t>2</w:t>
              </w:r>
            </w:smartTag>
            <w:r w:rsidRPr="00E10B94">
              <w:rPr>
                <w:rFonts w:ascii="Arial" w:hAnsi="Arial" w:cs="Arial"/>
              </w:rPr>
              <w:t xml:space="preserve"> nawierzchni jedna próbka; w razie potrzeby liczba próbek może zostać zwiększona (np. nawierzchnie dróg w terenie zabudowy)</w:t>
            </w: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  <w:vertAlign w:val="superscript"/>
              </w:rPr>
              <w:t>b)</w:t>
            </w:r>
            <w:r w:rsidRPr="00E10B94">
              <w:rPr>
                <w:rFonts w:ascii="Arial" w:hAnsi="Arial" w:cs="Arial"/>
              </w:rPr>
              <w:t xml:space="preserve">   w razie potrzeby specjalne kruszywa i dodatki</w:t>
            </w:r>
          </w:p>
        </w:tc>
      </w:tr>
    </w:tbl>
    <w:p w:rsidR="0065609C" w:rsidRDefault="0065609C" w:rsidP="00E10B94">
      <w:pPr>
        <w:jc w:val="both"/>
        <w:rPr>
          <w:rFonts w:ascii="Arial" w:hAnsi="Arial" w:cs="Arial"/>
        </w:rPr>
      </w:pPr>
    </w:p>
    <w:p w:rsidR="00246309" w:rsidRDefault="00246309" w:rsidP="00E10B94">
      <w:pPr>
        <w:jc w:val="both"/>
        <w:rPr>
          <w:rFonts w:ascii="Arial" w:hAnsi="Arial" w:cs="Arial"/>
        </w:rPr>
      </w:pPr>
    </w:p>
    <w:p w:rsidR="00246309" w:rsidRDefault="00246309" w:rsidP="00E10B94">
      <w:pPr>
        <w:jc w:val="both"/>
        <w:rPr>
          <w:rFonts w:ascii="Arial" w:hAnsi="Arial" w:cs="Arial"/>
        </w:rPr>
      </w:pPr>
    </w:p>
    <w:p w:rsidR="00246309" w:rsidRPr="00E10B94" w:rsidRDefault="00246309" w:rsidP="00E10B94">
      <w:pPr>
        <w:jc w:val="both"/>
        <w:rPr>
          <w:rFonts w:ascii="Arial" w:hAnsi="Arial" w:cs="Arial"/>
        </w:rPr>
      </w:pP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  <w:b/>
        </w:rPr>
        <w:lastRenderedPageBreak/>
        <w:t xml:space="preserve">6.3.4. </w:t>
      </w:r>
      <w:r w:rsidRPr="00E10B94">
        <w:rPr>
          <w:rFonts w:ascii="Arial" w:hAnsi="Arial" w:cs="Arial"/>
        </w:rPr>
        <w:t>Badania kontrolne dodatkowe</w:t>
      </w:r>
      <w:r w:rsidR="00246309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W wypadku uznania, że jeden z wyników badań kontrolnych nie jest reprezentatywny dla ocenianego odcinka budowy, Wykonawca ma prawo żądać przeprowadzenia badań kontrolnych dodatkowych.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In</w:t>
      </w:r>
      <w:r w:rsidR="00246309">
        <w:rPr>
          <w:rFonts w:ascii="Arial" w:hAnsi="Arial" w:cs="Arial"/>
        </w:rPr>
        <w:t>spektor Nadzoru</w:t>
      </w:r>
      <w:r w:rsidRPr="00E10B94">
        <w:rPr>
          <w:rFonts w:ascii="Arial" w:hAnsi="Arial" w:cs="Arial"/>
        </w:rPr>
        <w:t xml:space="preserve"> i Wykonawca decydują wspólnie o miejscach pobierania próbek</w:t>
      </w:r>
      <w:r w:rsidR="00246309">
        <w:rPr>
          <w:rFonts w:ascii="Arial" w:hAnsi="Arial" w:cs="Arial"/>
        </w:rPr>
        <w:br/>
      </w:r>
      <w:r w:rsidRPr="00E10B94">
        <w:rPr>
          <w:rFonts w:ascii="Arial" w:hAnsi="Arial" w:cs="Arial"/>
        </w:rPr>
        <w:t>i wyznaczeniu odcinków częściowych ocenianego odcinka budowy. Jeżeli odcinek częściowy przyporządkowany do badań kontrolnych nie może być jednoznacznie i zgodnie wyznaczony, to odcinek ten nie powinien być mniejszy niż 20% ocenianego odcinka budowy.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Do odbioru uwzględniane są wyniki badań kontrolnych i badań kontrolnych dodatkowych</w:t>
      </w:r>
      <w:r w:rsidR="00246309">
        <w:rPr>
          <w:rFonts w:ascii="Arial" w:hAnsi="Arial" w:cs="Arial"/>
        </w:rPr>
        <w:br/>
      </w:r>
      <w:r w:rsidRPr="00E10B94">
        <w:rPr>
          <w:rFonts w:ascii="Arial" w:hAnsi="Arial" w:cs="Arial"/>
        </w:rPr>
        <w:t>do wyznaczonych odcinków częściowych.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Koszty badań kontrolnych dodatkowych zażądanych przez Wykonawcę ponosi Wykonawca.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  <w:b/>
        </w:rPr>
        <w:t xml:space="preserve">6.3.5. </w:t>
      </w:r>
      <w:r w:rsidRPr="00E10B94">
        <w:rPr>
          <w:rFonts w:ascii="Arial" w:hAnsi="Arial" w:cs="Arial"/>
        </w:rPr>
        <w:t>Badania arbitrażowe</w:t>
      </w:r>
      <w:r w:rsidR="00D352B5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Badania arbitrażowe są powtórzeniem badań kontrolnych, co do których istnieją uzasadnione wątpliwości ze strony In</w:t>
      </w:r>
      <w:r w:rsidR="00D352B5">
        <w:rPr>
          <w:rFonts w:ascii="Arial" w:hAnsi="Arial" w:cs="Arial"/>
        </w:rPr>
        <w:t>spektora Nadzoru</w:t>
      </w:r>
      <w:r w:rsidRPr="00E10B94">
        <w:rPr>
          <w:rFonts w:ascii="Arial" w:hAnsi="Arial" w:cs="Arial"/>
        </w:rPr>
        <w:t xml:space="preserve"> lub Wykonawcy (np. na podstawie własnych badań).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Badania arbitrażowe wykonuje na wniosek strony kontraktu niezależne laboratorium, które nie wykonywało badań kontrolnych.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Koszty badań arbitrażowych wraz ze wszystkimi kosztami ubocznymi ponosi strona, na której niekorzyść przemawia wynik badania.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Wniosek o przeprowadzenie badań arbitrażowych dotyczących zawartości wolnych przestrzeni lub wskaźnika zagęszczenia należy złożyć w ciągu 2 miesięcy od wpływu reklamacji ze strony Zamawiającego.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D352B5">
        <w:rPr>
          <w:rFonts w:ascii="Arial" w:hAnsi="Arial" w:cs="Arial"/>
          <w:b/>
        </w:rPr>
        <w:t>6.4.</w:t>
      </w:r>
      <w:r w:rsidRPr="00E10B94">
        <w:rPr>
          <w:rFonts w:ascii="Arial" w:hAnsi="Arial" w:cs="Arial"/>
        </w:rPr>
        <w:t xml:space="preserve"> Właściwości warstwy i nawierzchni oraz dopuszczalne odchyłki</w:t>
      </w:r>
      <w:r w:rsidR="00D352B5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  <w:b/>
        </w:rPr>
        <w:t>6.4.1.</w:t>
      </w:r>
      <w:r w:rsidRPr="00E10B94">
        <w:rPr>
          <w:rFonts w:ascii="Arial" w:hAnsi="Arial" w:cs="Arial"/>
        </w:rPr>
        <w:t xml:space="preserve"> Mieszanka mineralno-asfaltowa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Dopuszczalne wartości odchyłek i tolerancje zawarte są w WT-2 Nawierzchnie asfaltowe 2008 punkt 8.8.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Na etapie oceny jakości wbudowanej mieszanki mineralno-asfaltowej podaje się wartości dopuszczalne i tolerancje, w których uwzględnia się: rozrzut występujący przy pobieraniu próbek, dokładność metod badań oraz odstępstwa uwarunkowane metodą pracy.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Właściwości materiałów należy oceniać na podstawie badań pobranych próbek mieszanki mineralno-asfaltowej przed wbudowaniem (wbudowanie oznacza wykonanie warstwy asfaltowej). Wyjątkowo dopuszcza się badania próbek pobranych z wykonanej warstwy asfaltowej.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  <w:b/>
        </w:rPr>
        <w:t xml:space="preserve">6.4.2. </w:t>
      </w:r>
      <w:r w:rsidRPr="00E10B94">
        <w:rPr>
          <w:rFonts w:ascii="Arial" w:hAnsi="Arial" w:cs="Arial"/>
        </w:rPr>
        <w:t>Warstwa asfaltowa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D352B5">
        <w:rPr>
          <w:rFonts w:ascii="Arial" w:hAnsi="Arial" w:cs="Arial"/>
          <w:b/>
        </w:rPr>
        <w:t>6.4.2.1.</w:t>
      </w:r>
      <w:r w:rsidRPr="00E10B94">
        <w:rPr>
          <w:rFonts w:ascii="Arial" w:hAnsi="Arial" w:cs="Arial"/>
        </w:rPr>
        <w:t xml:space="preserve"> Grubość warstwy oraz ilość materiału</w:t>
      </w:r>
      <w:r w:rsidR="00D352B5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lastRenderedPageBreak/>
        <w:t>Grubość wykonanej warstwy oznaczana według PN-EN 12697-36:2005 oraz ilość wbudowanego materiału na określoną powierzchnię (dotyczy przede wszystkim cienkich warstw) mogą odbiegać od projektu o wartości podane w tablicy 7.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W wypadku określania ilości materiału na powierzchnię i średniej wartości grubości warstwy z reguły należy przyjąć za podstawę cały odcinek budowy. In</w:t>
      </w:r>
      <w:r w:rsidR="00D352B5">
        <w:rPr>
          <w:rFonts w:ascii="Arial" w:hAnsi="Arial" w:cs="Arial"/>
        </w:rPr>
        <w:t>spektor Nadzoru</w:t>
      </w:r>
      <w:r w:rsidRPr="00E10B94">
        <w:rPr>
          <w:rFonts w:ascii="Arial" w:hAnsi="Arial" w:cs="Arial"/>
        </w:rPr>
        <w:t xml:space="preserve"> ma prawo sprawdzać odcinki częściowe. Odcinek częściowy powinien zawierać co najmniej jedną dzienną działkę roboczą. Do odcinka częściowego obowiązują te same wymagania jak do odcinka budowy.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Za grubość warstwy lub warstw przyjmuje się średnią arytmetyczną wszystkich pojedynczych oznaczeń grubości warstwy na całym odcinku budowy lub odcinku częściowym.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ab/>
      </w:r>
      <w:r w:rsidRPr="00D352B5">
        <w:rPr>
          <w:rFonts w:ascii="Arial" w:hAnsi="Arial" w:cs="Arial"/>
          <w:b/>
        </w:rPr>
        <w:t>Tablica 7.</w:t>
      </w:r>
      <w:r w:rsidRPr="00E10B94">
        <w:rPr>
          <w:rFonts w:ascii="Arial" w:hAnsi="Arial" w:cs="Arial"/>
        </w:rPr>
        <w:tab/>
        <w:t>Dopuszczalne odchyłki grubości warstwy oraz ilości materiału</w:t>
      </w:r>
      <w:r w:rsidR="00D352B5">
        <w:rPr>
          <w:rFonts w:ascii="Arial" w:hAnsi="Arial" w:cs="Arial"/>
        </w:rPr>
        <w:br/>
      </w:r>
      <w:r w:rsidRPr="00E10B94">
        <w:rPr>
          <w:rFonts w:ascii="Arial" w:hAnsi="Arial" w:cs="Arial"/>
        </w:rPr>
        <w:t xml:space="preserve">na określonej powierzchni, [%]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99"/>
        <w:gridCol w:w="2989"/>
      </w:tblGrid>
      <w:tr w:rsidR="0065609C" w:rsidRPr="00E10B94" w:rsidTr="00BA28B2">
        <w:tc>
          <w:tcPr>
            <w:tcW w:w="6629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Warunki oceny</w:t>
            </w:r>
          </w:p>
        </w:tc>
        <w:tc>
          <w:tcPr>
            <w:tcW w:w="3118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Warstwa asfaltowa AC</w:t>
            </w:r>
            <w:r w:rsidRPr="00E10B94">
              <w:rPr>
                <w:rFonts w:ascii="Arial" w:hAnsi="Arial" w:cs="Arial"/>
                <w:vertAlign w:val="superscript"/>
              </w:rPr>
              <w:t>a)</w:t>
            </w:r>
          </w:p>
        </w:tc>
      </w:tr>
      <w:tr w:rsidR="0065609C" w:rsidRPr="00E10B94" w:rsidTr="00BA28B2">
        <w:tc>
          <w:tcPr>
            <w:tcW w:w="6629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A – Średnia z wielu oznaczeń grubości oraz ilości</w:t>
            </w: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 xml:space="preserve">1. – duży odcinek budowy, powierzchnia większa niż </w:t>
            </w:r>
            <w:smartTag w:uri="urn:schemas-microsoft-com:office:smarttags" w:element="metricconverter">
              <w:smartTagPr>
                <w:attr w:name="ProductID" w:val="6000 m2"/>
              </w:smartTagPr>
              <w:r w:rsidRPr="00E10B94">
                <w:rPr>
                  <w:rFonts w:ascii="Arial" w:hAnsi="Arial" w:cs="Arial"/>
                </w:rPr>
                <w:t>6000 m</w:t>
              </w:r>
              <w:r w:rsidRPr="00E10B94">
                <w:rPr>
                  <w:rFonts w:ascii="Arial" w:hAnsi="Arial" w:cs="Arial"/>
                  <w:vertAlign w:val="superscript"/>
                </w:rPr>
                <w:t>2</w:t>
              </w:r>
            </w:smartTag>
            <w:r w:rsidRPr="00E10B94">
              <w:rPr>
                <w:rFonts w:ascii="Arial" w:hAnsi="Arial" w:cs="Arial"/>
              </w:rPr>
              <w:t xml:space="preserve"> lub</w:t>
            </w: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 xml:space="preserve">     – droga ograniczona krawężnikami, powierzchnia większa niż </w:t>
            </w:r>
            <w:smartTag w:uri="urn:schemas-microsoft-com:office:smarttags" w:element="metricconverter">
              <w:smartTagPr>
                <w:attr w:name="ProductID" w:val="1000 m2"/>
              </w:smartTagPr>
              <w:r w:rsidRPr="00E10B94">
                <w:rPr>
                  <w:rFonts w:ascii="Arial" w:hAnsi="Arial" w:cs="Arial"/>
                </w:rPr>
                <w:t>1000 m</w:t>
              </w:r>
              <w:r w:rsidRPr="00E10B94">
                <w:rPr>
                  <w:rFonts w:ascii="Arial" w:hAnsi="Arial" w:cs="Arial"/>
                  <w:vertAlign w:val="superscript"/>
                </w:rPr>
                <w:t>2</w:t>
              </w:r>
            </w:smartTag>
            <w:r w:rsidRPr="00E10B94">
              <w:rPr>
                <w:rFonts w:ascii="Arial" w:hAnsi="Arial" w:cs="Arial"/>
              </w:rPr>
              <w:t xml:space="preserve"> lub</w:t>
            </w: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 xml:space="preserve">2.  –  mały odcinek budowy </w:t>
            </w:r>
          </w:p>
        </w:tc>
        <w:tc>
          <w:tcPr>
            <w:tcW w:w="3118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≤ 10</w:t>
            </w: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≤ 15</w:t>
            </w:r>
          </w:p>
        </w:tc>
      </w:tr>
      <w:tr w:rsidR="0065609C" w:rsidRPr="00E10B94" w:rsidTr="00BA28B2">
        <w:tc>
          <w:tcPr>
            <w:tcW w:w="6629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B – Pojedyncze oznaczenie grubości</w:t>
            </w:r>
          </w:p>
        </w:tc>
        <w:tc>
          <w:tcPr>
            <w:tcW w:w="3118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≤ 15</w:t>
            </w:r>
          </w:p>
        </w:tc>
      </w:tr>
      <w:tr w:rsidR="0065609C" w:rsidRPr="00E10B94" w:rsidTr="00BA28B2">
        <w:tc>
          <w:tcPr>
            <w:tcW w:w="9747" w:type="dxa"/>
            <w:gridSpan w:val="2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  <w:vertAlign w:val="superscript"/>
              </w:rPr>
              <w:t>a)</w:t>
            </w:r>
            <w:r w:rsidRPr="00E10B94">
              <w:rPr>
                <w:rFonts w:ascii="Arial" w:hAnsi="Arial" w:cs="Arial"/>
              </w:rPr>
              <w:t xml:space="preserve"> w wypadku budowy dwuetapowej, tzn. gdy warstwa ścieralna jest układana z opóźnieniem, wartość z wiersza B odpowiednio obowiązuje; w pierwszym etapie budowy do górnej warstwy nawierzchni obowiązuje wartość 25%, a do łącznej grubości warstw etapu 1 ÷ 15%</w:t>
            </w:r>
          </w:p>
        </w:tc>
      </w:tr>
    </w:tbl>
    <w:p w:rsidR="0065609C" w:rsidRPr="00E10B94" w:rsidRDefault="0065609C" w:rsidP="00E10B94">
      <w:pPr>
        <w:jc w:val="both"/>
        <w:rPr>
          <w:rFonts w:ascii="Arial" w:hAnsi="Arial" w:cs="Arial"/>
        </w:rPr>
      </w:pP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D352B5">
        <w:rPr>
          <w:rFonts w:ascii="Arial" w:hAnsi="Arial" w:cs="Arial"/>
          <w:b/>
        </w:rPr>
        <w:t>6.4.2.2.</w:t>
      </w:r>
      <w:r w:rsidRPr="00E10B94">
        <w:rPr>
          <w:rFonts w:ascii="Arial" w:hAnsi="Arial" w:cs="Arial"/>
        </w:rPr>
        <w:t xml:space="preserve"> Wskaźnik zagęszczenia warstwy</w:t>
      </w:r>
      <w:r w:rsidR="00D352B5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Zagęszczenie wykonanej warstwy, wyrażone wskaźnikiem zagęszczenia oraz zawartością wolnych przestrzeni, nie może przekroczyć wartości dopuszczalnych podanych w tablicy 5. Dotyczy to każdego pojedynczego oznaczenia danej właściwości. Badanie zagęszczenia wykonać wg PN-EN-12697:10:2008 i PN-EN 12697-30:2007</w:t>
      </w:r>
      <w:r w:rsidR="00D352B5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Określenie gęstości objętościowej należy wykonywać według PN-EN 12697-6:2008.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D352B5">
        <w:rPr>
          <w:rFonts w:ascii="Arial" w:hAnsi="Arial" w:cs="Arial"/>
          <w:b/>
        </w:rPr>
        <w:t>6.4.2.3.</w:t>
      </w:r>
      <w:r w:rsidRPr="00E10B94">
        <w:rPr>
          <w:rFonts w:ascii="Arial" w:hAnsi="Arial" w:cs="Arial"/>
        </w:rPr>
        <w:t xml:space="preserve"> Zawartość wolnych przestrzeni w nawierzchni</w:t>
      </w:r>
      <w:r w:rsidR="00D352B5">
        <w:rPr>
          <w:rFonts w:ascii="Arial" w:hAnsi="Arial" w:cs="Arial"/>
        </w:rPr>
        <w:t>.</w:t>
      </w:r>
      <w:r w:rsidRPr="00E10B94">
        <w:rPr>
          <w:rFonts w:ascii="Arial" w:hAnsi="Arial" w:cs="Arial"/>
        </w:rPr>
        <w:t xml:space="preserve"> </w:t>
      </w:r>
    </w:p>
    <w:p w:rsidR="0065609C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Zawartość wolnych przestrzeni w próbce Marshalla z mieszanki mineralno-asfaltowej</w:t>
      </w:r>
      <w:r w:rsidR="00D352B5">
        <w:rPr>
          <w:rFonts w:ascii="Arial" w:hAnsi="Arial" w:cs="Arial"/>
        </w:rPr>
        <w:br/>
      </w:r>
      <w:r w:rsidRPr="00E10B94">
        <w:rPr>
          <w:rFonts w:ascii="Arial" w:hAnsi="Arial" w:cs="Arial"/>
        </w:rPr>
        <w:t>lub wyjątkowo powtórnie rozgrzanej próbki pobranej z nawierzchni,  nie może wykroczyć poza wartości dopuszczalne podane w p. 5.2 o więcej niż 2,0 %(v/v).</w:t>
      </w:r>
    </w:p>
    <w:p w:rsidR="00D352B5" w:rsidRPr="00E10B94" w:rsidRDefault="00D352B5" w:rsidP="00E10B94">
      <w:pPr>
        <w:jc w:val="both"/>
        <w:rPr>
          <w:rFonts w:ascii="Arial" w:hAnsi="Arial" w:cs="Arial"/>
        </w:rPr>
      </w:pP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D352B5">
        <w:rPr>
          <w:rFonts w:ascii="Arial" w:hAnsi="Arial" w:cs="Arial"/>
          <w:b/>
        </w:rPr>
        <w:lastRenderedPageBreak/>
        <w:t>6.4.2.4.</w:t>
      </w:r>
      <w:r w:rsidRPr="00E10B94">
        <w:rPr>
          <w:rFonts w:ascii="Arial" w:hAnsi="Arial" w:cs="Arial"/>
        </w:rPr>
        <w:t xml:space="preserve"> Spadki poprzeczne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 xml:space="preserve">Spadki poprzeczne nawierzchni należy badać nie rzadziej niż co </w:t>
      </w:r>
      <w:smartTag w:uri="urn:schemas-microsoft-com:office:smarttags" w:element="metricconverter">
        <w:smartTagPr>
          <w:attr w:name="ProductID" w:val="20 m"/>
        </w:smartTagPr>
        <w:r w:rsidRPr="00E10B94">
          <w:rPr>
            <w:rFonts w:ascii="Arial" w:hAnsi="Arial" w:cs="Arial"/>
          </w:rPr>
          <w:t>20 m</w:t>
        </w:r>
      </w:smartTag>
      <w:r w:rsidRPr="00E10B94">
        <w:rPr>
          <w:rFonts w:ascii="Arial" w:hAnsi="Arial" w:cs="Arial"/>
        </w:rPr>
        <w:t xml:space="preserve"> oraz w punktach głównych łuków poziomych.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Spadki poprzeczne powinny być zgodne z dokumentacją projektową, z tolerancją ± 0,5%.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D352B5">
        <w:rPr>
          <w:rFonts w:ascii="Arial" w:hAnsi="Arial" w:cs="Arial"/>
          <w:b/>
        </w:rPr>
        <w:t>6.4.2.5.</w:t>
      </w:r>
      <w:r w:rsidRPr="00E10B94">
        <w:rPr>
          <w:rFonts w:ascii="Arial" w:hAnsi="Arial" w:cs="Arial"/>
        </w:rPr>
        <w:t xml:space="preserve"> Równość podłużna i poprzeczna</w:t>
      </w:r>
      <w:r w:rsidR="00D352B5">
        <w:rPr>
          <w:rFonts w:ascii="Arial" w:hAnsi="Arial" w:cs="Arial"/>
        </w:rPr>
        <w:t>.</w:t>
      </w:r>
      <w:r w:rsidRPr="00E10B94">
        <w:rPr>
          <w:rFonts w:ascii="Arial" w:hAnsi="Arial" w:cs="Arial"/>
        </w:rPr>
        <w:t xml:space="preserve"> 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Do oceny równości podłużnej warstwy wiążącej nawierzchni dróg należy stosować metodę</w:t>
      </w:r>
      <w:r w:rsidR="00D352B5">
        <w:rPr>
          <w:rFonts w:ascii="Arial" w:hAnsi="Arial" w:cs="Arial"/>
        </w:rPr>
        <w:br/>
      </w:r>
      <w:r w:rsidRPr="00E10B94">
        <w:rPr>
          <w:rFonts w:ascii="Arial" w:hAnsi="Arial" w:cs="Arial"/>
        </w:rPr>
        <w:t xml:space="preserve">z wykorzystaniem łaty 4-metrowej i klina lub metody równoważnej użyciu łaty i klina, mierząc wysokość prześwitu w połowie długości łaty. Pomiar wykonuje się nie rzadziej niż co </w:t>
      </w:r>
      <w:smartTag w:uri="urn:schemas-microsoft-com:office:smarttags" w:element="metricconverter">
        <w:smartTagPr>
          <w:attr w:name="ProductID" w:val="10 m"/>
        </w:smartTagPr>
        <w:r w:rsidRPr="00E10B94">
          <w:rPr>
            <w:rFonts w:ascii="Arial" w:hAnsi="Arial" w:cs="Arial"/>
          </w:rPr>
          <w:t>10 m</w:t>
        </w:r>
      </w:smartTag>
      <w:r w:rsidRPr="00E10B94">
        <w:rPr>
          <w:rFonts w:ascii="Arial" w:hAnsi="Arial" w:cs="Arial"/>
        </w:rPr>
        <w:t xml:space="preserve">. Wymagana równość podłużna jest określona w rozporządzeniu dotyczącym warunków technicznych, jakim powinny odpowiadać drogi publiczne – załącznik nr 6 pkt. 2.3. Maksymalna nierówność nie może przekraczać </w:t>
      </w:r>
      <w:smartTag w:uri="urn:schemas-microsoft-com:office:smarttags" w:element="metricconverter">
        <w:smartTagPr>
          <w:attr w:name="ProductID" w:val="8 mm"/>
        </w:smartTagPr>
        <w:r w:rsidRPr="00E10B94">
          <w:rPr>
            <w:rFonts w:ascii="Arial" w:hAnsi="Arial" w:cs="Arial"/>
          </w:rPr>
          <w:t>8 mm</w:t>
        </w:r>
      </w:smartTag>
      <w:r w:rsidRPr="00E10B94">
        <w:rPr>
          <w:rFonts w:ascii="Arial" w:hAnsi="Arial" w:cs="Arial"/>
        </w:rPr>
        <w:t xml:space="preserve">, a dla 95% wyników nierówność nie może przekraczać </w:t>
      </w:r>
      <w:smartTag w:uri="urn:schemas-microsoft-com:office:smarttags" w:element="metricconverter">
        <w:smartTagPr>
          <w:attr w:name="ProductID" w:val="7 mm"/>
        </w:smartTagPr>
        <w:r w:rsidRPr="00E10B94">
          <w:rPr>
            <w:rFonts w:ascii="Arial" w:hAnsi="Arial" w:cs="Arial"/>
          </w:rPr>
          <w:t>7 mm</w:t>
        </w:r>
      </w:smartTag>
      <w:r w:rsidRPr="00E10B94">
        <w:rPr>
          <w:rFonts w:ascii="Arial" w:hAnsi="Arial" w:cs="Arial"/>
        </w:rPr>
        <w:tab/>
      </w:r>
      <w:r w:rsidRPr="00E10B94">
        <w:rPr>
          <w:rFonts w:ascii="Arial" w:hAnsi="Arial" w:cs="Arial"/>
        </w:rPr>
        <w:tab/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 xml:space="preserve">Do oceny równości poprzecznej warstwy wiążącej nawierzchni dróg wszystkich klas technicznych należy stosować metodę z wykorzystaniem łaty 4-metrowej i klina lub metody równoważnej użyciu łaty i klina. Pomiar należy wykonywać w kierunku prostopadłym do osi jezdni, na każdym ocenianym pasie ruchu, nie rzadziej niż co </w:t>
      </w:r>
      <w:smartTag w:uri="urn:schemas-microsoft-com:office:smarttags" w:element="metricconverter">
        <w:smartTagPr>
          <w:attr w:name="ProductID" w:val="10 m"/>
        </w:smartTagPr>
        <w:r w:rsidRPr="00E10B94">
          <w:rPr>
            <w:rFonts w:ascii="Arial" w:hAnsi="Arial" w:cs="Arial"/>
          </w:rPr>
          <w:t>10 m</w:t>
        </w:r>
      </w:smartTag>
      <w:r w:rsidRPr="00E10B94">
        <w:rPr>
          <w:rFonts w:ascii="Arial" w:hAnsi="Arial" w:cs="Arial"/>
        </w:rPr>
        <w:t>. Wymagana równość poprzeczna jest określona w rozporządzeniu dotyczącym warunków technicznych, jakim powinny odpowiadać drogi publiczne.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D352B5">
        <w:rPr>
          <w:rFonts w:ascii="Arial" w:hAnsi="Arial" w:cs="Arial"/>
          <w:b/>
        </w:rPr>
        <w:t>6.4.2.6.</w:t>
      </w:r>
      <w:r w:rsidRPr="00E10B94">
        <w:rPr>
          <w:rFonts w:ascii="Arial" w:hAnsi="Arial" w:cs="Arial"/>
        </w:rPr>
        <w:t xml:space="preserve"> Pozostałe właściwości warstwy asfaltowej</w:t>
      </w:r>
      <w:r w:rsidR="00D352B5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 xml:space="preserve">Szerokość warstwy, mierzona 10 razy na </w:t>
      </w:r>
      <w:smartTag w:uri="urn:schemas-microsoft-com:office:smarttags" w:element="metricconverter">
        <w:smartTagPr>
          <w:attr w:name="ProductID" w:val="1 km"/>
        </w:smartTagPr>
        <w:r w:rsidRPr="00E10B94">
          <w:rPr>
            <w:rFonts w:ascii="Arial" w:hAnsi="Arial" w:cs="Arial"/>
          </w:rPr>
          <w:t>1 km</w:t>
        </w:r>
      </w:smartTag>
      <w:r w:rsidRPr="00E10B94">
        <w:rPr>
          <w:rFonts w:ascii="Arial" w:hAnsi="Arial" w:cs="Arial"/>
        </w:rPr>
        <w:t xml:space="preserve"> każdej jezdni, nie może się różnić</w:t>
      </w:r>
      <w:r w:rsidR="00D352B5">
        <w:rPr>
          <w:rFonts w:ascii="Arial" w:hAnsi="Arial" w:cs="Arial"/>
        </w:rPr>
        <w:br/>
      </w:r>
      <w:r w:rsidRPr="00E10B94">
        <w:rPr>
          <w:rFonts w:ascii="Arial" w:hAnsi="Arial" w:cs="Arial"/>
        </w:rPr>
        <w:t xml:space="preserve">od szerokości projektowanej o więcej niż ± </w:t>
      </w:r>
      <w:smartTag w:uri="urn:schemas-microsoft-com:office:smarttags" w:element="metricconverter">
        <w:smartTagPr>
          <w:attr w:name="ProductID" w:val="5 cm"/>
        </w:smartTagPr>
        <w:r w:rsidRPr="00E10B94">
          <w:rPr>
            <w:rFonts w:ascii="Arial" w:hAnsi="Arial" w:cs="Arial"/>
          </w:rPr>
          <w:t>5 cm</w:t>
        </w:r>
      </w:smartTag>
      <w:r w:rsidRPr="00E10B94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 xml:space="preserve">Rzędne wysokościowe, mierzone co </w:t>
      </w:r>
      <w:smartTag w:uri="urn:schemas-microsoft-com:office:smarttags" w:element="metricconverter">
        <w:smartTagPr>
          <w:attr w:name="ProductID" w:val="10 m"/>
        </w:smartTagPr>
        <w:r w:rsidRPr="00E10B94">
          <w:rPr>
            <w:rFonts w:ascii="Arial" w:hAnsi="Arial" w:cs="Arial"/>
          </w:rPr>
          <w:t>10 m</w:t>
        </w:r>
      </w:smartTag>
      <w:r w:rsidRPr="00E10B94">
        <w:rPr>
          <w:rFonts w:ascii="Arial" w:hAnsi="Arial" w:cs="Arial"/>
        </w:rPr>
        <w:t xml:space="preserve"> na prostych i co </w:t>
      </w:r>
      <w:smartTag w:uri="urn:schemas-microsoft-com:office:smarttags" w:element="metricconverter">
        <w:smartTagPr>
          <w:attr w:name="ProductID" w:val="10 m"/>
        </w:smartTagPr>
        <w:r w:rsidRPr="00E10B94">
          <w:rPr>
            <w:rFonts w:ascii="Arial" w:hAnsi="Arial" w:cs="Arial"/>
          </w:rPr>
          <w:t>10 m</w:t>
        </w:r>
      </w:smartTag>
      <w:r w:rsidRPr="00E10B94">
        <w:rPr>
          <w:rFonts w:ascii="Arial" w:hAnsi="Arial" w:cs="Arial"/>
        </w:rPr>
        <w:t xml:space="preserve"> na osi podłużnej</w:t>
      </w:r>
      <w:r w:rsidR="00D352B5">
        <w:rPr>
          <w:rFonts w:ascii="Arial" w:hAnsi="Arial" w:cs="Arial"/>
        </w:rPr>
        <w:br/>
      </w:r>
      <w:r w:rsidRPr="00E10B94">
        <w:rPr>
          <w:rFonts w:ascii="Arial" w:hAnsi="Arial" w:cs="Arial"/>
        </w:rPr>
        <w:t xml:space="preserve">i krawędziach, powinny być zgodne z dokumentacją projektową z dopuszczalną tolerancją ± </w:t>
      </w:r>
      <w:smartTag w:uri="urn:schemas-microsoft-com:office:smarttags" w:element="metricconverter">
        <w:smartTagPr>
          <w:attr w:name="ProductID" w:val="1 cm"/>
        </w:smartTagPr>
        <w:r w:rsidRPr="00E10B94">
          <w:rPr>
            <w:rFonts w:ascii="Arial" w:hAnsi="Arial" w:cs="Arial"/>
          </w:rPr>
          <w:t>1 cm</w:t>
        </w:r>
      </w:smartTag>
      <w:r w:rsidRPr="00E10B94">
        <w:rPr>
          <w:rFonts w:ascii="Arial" w:hAnsi="Arial" w:cs="Arial"/>
        </w:rPr>
        <w:t>, przy czym co najmniej 95% wykonanych pomiarów nie może przekraczać przedziału dopuszczalnych odchyleń.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 xml:space="preserve">Ukształtowanie osi w planie, mierzone co </w:t>
      </w:r>
      <w:smartTag w:uri="urn:schemas-microsoft-com:office:smarttags" w:element="metricconverter">
        <w:smartTagPr>
          <w:attr w:name="ProductID" w:val="100 m"/>
        </w:smartTagPr>
        <w:r w:rsidRPr="00E10B94">
          <w:rPr>
            <w:rFonts w:ascii="Arial" w:hAnsi="Arial" w:cs="Arial"/>
          </w:rPr>
          <w:t>100 m</w:t>
        </w:r>
      </w:smartTag>
      <w:r w:rsidRPr="00E10B94">
        <w:rPr>
          <w:rFonts w:ascii="Arial" w:hAnsi="Arial" w:cs="Arial"/>
        </w:rPr>
        <w:t xml:space="preserve">, nie powinno różnić się od dokumentacji projektowej o ± </w:t>
      </w:r>
      <w:smartTag w:uri="urn:schemas-microsoft-com:office:smarttags" w:element="metricconverter">
        <w:smartTagPr>
          <w:attr w:name="ProductID" w:val="5 cm"/>
        </w:smartTagPr>
        <w:r w:rsidRPr="00E10B94">
          <w:rPr>
            <w:rFonts w:ascii="Arial" w:hAnsi="Arial" w:cs="Arial"/>
          </w:rPr>
          <w:t>5 cm</w:t>
        </w:r>
      </w:smartTag>
      <w:r w:rsidRPr="00E10B94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Złącza podłużne i poprzeczne, sprawdzone wizualnie, powinny być równe i związane, wykonane w linii prostej, równolegle lub prostopadle do osi drogi. Przylegające warstwy powinny być w jednym poziomie.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Wygląd zewnętrzny warstwy, sprawdzony wizualnie, powinien być jednorodny, bez spękań, deformacji, plam i wykruszeń.</w:t>
      </w:r>
      <w:bookmarkStart w:id="9" w:name="_Toc237920705"/>
    </w:p>
    <w:p w:rsidR="0065609C" w:rsidRPr="00D352B5" w:rsidRDefault="0065609C" w:rsidP="00E10B94">
      <w:pPr>
        <w:jc w:val="both"/>
        <w:rPr>
          <w:rFonts w:ascii="Arial" w:hAnsi="Arial" w:cs="Arial"/>
          <w:b/>
        </w:rPr>
      </w:pPr>
      <w:r w:rsidRPr="00D352B5">
        <w:rPr>
          <w:rFonts w:ascii="Arial" w:hAnsi="Arial" w:cs="Arial"/>
          <w:b/>
        </w:rPr>
        <w:t xml:space="preserve">7. </w:t>
      </w:r>
      <w:bookmarkEnd w:id="9"/>
      <w:r w:rsidRPr="00D352B5">
        <w:rPr>
          <w:rFonts w:ascii="Arial" w:hAnsi="Arial" w:cs="Arial"/>
          <w:b/>
        </w:rPr>
        <w:t>OBMIAR ROBÓT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D352B5">
        <w:rPr>
          <w:rFonts w:ascii="Arial" w:hAnsi="Arial" w:cs="Arial"/>
          <w:b/>
        </w:rPr>
        <w:t>7.1.</w:t>
      </w:r>
      <w:r w:rsidRPr="00E10B94">
        <w:rPr>
          <w:rFonts w:ascii="Arial" w:hAnsi="Arial" w:cs="Arial"/>
        </w:rPr>
        <w:t xml:space="preserve"> Ogólne zasady obmiaru robót</w:t>
      </w:r>
      <w:r w:rsidR="00D352B5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Ogólne zasady obmiaru robót podano w SSTWiORB  D-M-00.00.00 „Wymagania ogólne”</w:t>
      </w:r>
      <w:r w:rsidR="00D352B5">
        <w:rPr>
          <w:rFonts w:ascii="Arial" w:hAnsi="Arial" w:cs="Arial"/>
        </w:rPr>
        <w:br/>
      </w:r>
      <w:r w:rsidRPr="00E10B94">
        <w:rPr>
          <w:rFonts w:ascii="Arial" w:hAnsi="Arial" w:cs="Arial"/>
        </w:rPr>
        <w:t>pkt 7.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D352B5">
        <w:rPr>
          <w:rFonts w:ascii="Arial" w:hAnsi="Arial" w:cs="Arial"/>
          <w:b/>
        </w:rPr>
        <w:lastRenderedPageBreak/>
        <w:t>7.2.</w:t>
      </w:r>
      <w:r w:rsidRPr="00E10B94">
        <w:rPr>
          <w:rFonts w:ascii="Arial" w:hAnsi="Arial" w:cs="Arial"/>
        </w:rPr>
        <w:t xml:space="preserve"> Jednostka obmiarowa</w:t>
      </w:r>
      <w:r w:rsidR="00D352B5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Jednostką obmiarową jest m</w:t>
      </w:r>
      <w:r w:rsidRPr="00E10B94">
        <w:rPr>
          <w:rFonts w:ascii="Arial" w:hAnsi="Arial" w:cs="Arial"/>
          <w:vertAlign w:val="superscript"/>
        </w:rPr>
        <w:t>2</w:t>
      </w:r>
      <w:r w:rsidRPr="00E10B94">
        <w:rPr>
          <w:rFonts w:ascii="Arial" w:hAnsi="Arial" w:cs="Arial"/>
        </w:rPr>
        <w:t xml:space="preserve"> (metr kwadratowy) wykonanej warstwy z betonu asfaltowego (AC).</w:t>
      </w:r>
    </w:p>
    <w:p w:rsidR="0065609C" w:rsidRPr="00D352B5" w:rsidRDefault="0065609C" w:rsidP="00E10B94">
      <w:pPr>
        <w:jc w:val="both"/>
        <w:rPr>
          <w:rFonts w:ascii="Arial" w:hAnsi="Arial" w:cs="Arial"/>
          <w:b/>
        </w:rPr>
      </w:pPr>
      <w:r w:rsidRPr="00D352B5">
        <w:rPr>
          <w:rFonts w:ascii="Arial" w:hAnsi="Arial" w:cs="Arial"/>
          <w:b/>
        </w:rPr>
        <w:t xml:space="preserve"> </w:t>
      </w:r>
      <w:bookmarkStart w:id="10" w:name="_Toc237920706"/>
      <w:r w:rsidRPr="00D352B5">
        <w:rPr>
          <w:rFonts w:ascii="Arial" w:hAnsi="Arial" w:cs="Arial"/>
          <w:b/>
        </w:rPr>
        <w:t xml:space="preserve">8. </w:t>
      </w:r>
      <w:bookmarkEnd w:id="10"/>
      <w:r w:rsidRPr="00D352B5">
        <w:rPr>
          <w:rFonts w:ascii="Arial" w:hAnsi="Arial" w:cs="Arial"/>
          <w:b/>
        </w:rPr>
        <w:t>ODBIÓR ROBÓT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Ogólne zasady odbioru robót podano w SSTWiORB  D-M-00.00.00 „Wymagania ogólne”</w:t>
      </w:r>
      <w:r w:rsidR="00D352B5">
        <w:rPr>
          <w:rFonts w:ascii="Arial" w:hAnsi="Arial" w:cs="Arial"/>
        </w:rPr>
        <w:br/>
      </w:r>
      <w:r w:rsidRPr="00E10B94">
        <w:rPr>
          <w:rFonts w:ascii="Arial" w:hAnsi="Arial" w:cs="Arial"/>
        </w:rPr>
        <w:t xml:space="preserve"> pkt 8.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Roboty uznaje się za wykonane zgodnie z dokumentacją projektową, ST i wymaganiami Inżyniera/Kierownika projektu, jeżeli wszystkie pomiary i badania z zachowaniem tolerancji według pkt</w:t>
      </w:r>
      <w:r w:rsidR="00D352B5">
        <w:rPr>
          <w:rFonts w:ascii="Arial" w:hAnsi="Arial" w:cs="Arial"/>
        </w:rPr>
        <w:t>-</w:t>
      </w:r>
      <w:r w:rsidRPr="00E10B94">
        <w:rPr>
          <w:rFonts w:ascii="Arial" w:hAnsi="Arial" w:cs="Arial"/>
        </w:rPr>
        <w:t>u 6 dały wyniki pozytywne.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Jeśli warunki umowy przewidują dokonywanie potrąceń, to Zamawiający może w razie niedotrzymania wartości dopuszczalnych dokonać potrąceń według zasad określonych</w:t>
      </w:r>
      <w:r w:rsidR="00D352B5">
        <w:rPr>
          <w:rFonts w:ascii="Arial" w:hAnsi="Arial" w:cs="Arial"/>
        </w:rPr>
        <w:br/>
      </w:r>
      <w:r w:rsidRPr="00E10B94">
        <w:rPr>
          <w:rFonts w:ascii="Arial" w:hAnsi="Arial" w:cs="Arial"/>
        </w:rPr>
        <w:t>w WT-2  pkt 9.2.</w:t>
      </w:r>
      <w:bookmarkStart w:id="11" w:name="_Toc237920707"/>
    </w:p>
    <w:p w:rsidR="0065609C" w:rsidRPr="00D352B5" w:rsidRDefault="0065609C" w:rsidP="00E10B94">
      <w:pPr>
        <w:jc w:val="both"/>
        <w:rPr>
          <w:rFonts w:ascii="Arial" w:hAnsi="Arial" w:cs="Arial"/>
          <w:b/>
        </w:rPr>
      </w:pPr>
      <w:r w:rsidRPr="00D352B5">
        <w:rPr>
          <w:rFonts w:ascii="Arial" w:hAnsi="Arial" w:cs="Arial"/>
          <w:b/>
        </w:rPr>
        <w:t xml:space="preserve">9. </w:t>
      </w:r>
      <w:bookmarkEnd w:id="11"/>
      <w:r w:rsidRPr="00D352B5">
        <w:rPr>
          <w:rFonts w:ascii="Arial" w:hAnsi="Arial" w:cs="Arial"/>
          <w:b/>
        </w:rPr>
        <w:t>PODSTAWA PŁATNOŚCI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D352B5">
        <w:rPr>
          <w:rFonts w:ascii="Arial" w:hAnsi="Arial" w:cs="Arial"/>
          <w:b/>
        </w:rPr>
        <w:t>9.1.</w:t>
      </w:r>
      <w:r w:rsidRPr="00E10B94">
        <w:rPr>
          <w:rFonts w:ascii="Arial" w:hAnsi="Arial" w:cs="Arial"/>
        </w:rPr>
        <w:t xml:space="preserve"> Ogólne ustalenia dotyczące podstawy płatności</w:t>
      </w:r>
      <w:r w:rsidR="00D352B5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Ogólne ustalenia dotyczące podstawy płatności podano w SSTWiORB D-M-00.00.00 „Wymagania ogólne” pkt 9.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D352B5">
        <w:rPr>
          <w:rFonts w:ascii="Arial" w:hAnsi="Arial" w:cs="Arial"/>
          <w:b/>
        </w:rPr>
        <w:t>9.2.</w:t>
      </w:r>
      <w:r w:rsidRPr="00E10B94">
        <w:rPr>
          <w:rFonts w:ascii="Arial" w:hAnsi="Arial" w:cs="Arial"/>
        </w:rPr>
        <w:t xml:space="preserve"> Cena jednostki obmiarowej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 xml:space="preserve">Cena wykonania </w:t>
      </w:r>
      <w:smartTag w:uri="urn:schemas-microsoft-com:office:smarttags" w:element="metricconverter">
        <w:smartTagPr>
          <w:attr w:name="ProductID" w:val="1 m2"/>
        </w:smartTagPr>
        <w:r w:rsidRPr="00E10B94">
          <w:rPr>
            <w:rFonts w:ascii="Arial" w:hAnsi="Arial" w:cs="Arial"/>
          </w:rPr>
          <w:t>1 m</w:t>
        </w:r>
        <w:r w:rsidRPr="00E10B94">
          <w:rPr>
            <w:rFonts w:ascii="Arial" w:hAnsi="Arial" w:cs="Arial"/>
            <w:vertAlign w:val="superscript"/>
          </w:rPr>
          <w:t>2</w:t>
        </w:r>
      </w:smartTag>
      <w:r w:rsidRPr="00E10B94">
        <w:rPr>
          <w:rFonts w:ascii="Arial" w:hAnsi="Arial" w:cs="Arial"/>
        </w:rPr>
        <w:t xml:space="preserve"> warstwy  z betonu asfaltowego (AC) obejmuje:</w:t>
      </w:r>
    </w:p>
    <w:p w:rsidR="0065609C" w:rsidRPr="00E10B94" w:rsidRDefault="00D352B5" w:rsidP="00E10B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65609C" w:rsidRPr="00E10B94">
        <w:rPr>
          <w:rFonts w:ascii="Arial" w:hAnsi="Arial" w:cs="Arial"/>
        </w:rPr>
        <w:t>prace pomiarowe i roboty przygotowawcze,</w:t>
      </w:r>
    </w:p>
    <w:p w:rsidR="0065609C" w:rsidRPr="00E10B94" w:rsidRDefault="00D352B5" w:rsidP="00E10B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65609C" w:rsidRPr="00E10B94">
        <w:rPr>
          <w:rFonts w:ascii="Arial" w:hAnsi="Arial" w:cs="Arial"/>
        </w:rPr>
        <w:t>oznakowanie robót,</w:t>
      </w:r>
    </w:p>
    <w:p w:rsidR="0065609C" w:rsidRPr="00E10B94" w:rsidRDefault="00D352B5" w:rsidP="00E10B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65609C" w:rsidRPr="00E10B94">
        <w:rPr>
          <w:rFonts w:ascii="Arial" w:hAnsi="Arial" w:cs="Arial"/>
        </w:rPr>
        <w:t>oczyszczenie i skropienie podłoża,</w:t>
      </w:r>
    </w:p>
    <w:p w:rsidR="0065609C" w:rsidRPr="00E10B94" w:rsidRDefault="00D352B5" w:rsidP="00E10B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65609C" w:rsidRPr="00E10B94">
        <w:rPr>
          <w:rFonts w:ascii="Arial" w:hAnsi="Arial" w:cs="Arial"/>
        </w:rPr>
        <w:t>dostarczenie materiałów i sprzętu,</w:t>
      </w:r>
    </w:p>
    <w:p w:rsidR="0065609C" w:rsidRPr="00E10B94" w:rsidRDefault="00D352B5" w:rsidP="00E10B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65609C" w:rsidRPr="00E10B94">
        <w:rPr>
          <w:rFonts w:ascii="Arial" w:hAnsi="Arial" w:cs="Arial"/>
        </w:rPr>
        <w:t>opracowanie recepty laboratoryjnej,</w:t>
      </w:r>
    </w:p>
    <w:p w:rsidR="0065609C" w:rsidRPr="00E10B94" w:rsidRDefault="00D352B5" w:rsidP="00E10B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65609C" w:rsidRPr="00E10B94">
        <w:rPr>
          <w:rFonts w:ascii="Arial" w:hAnsi="Arial" w:cs="Arial"/>
        </w:rPr>
        <w:t>wykonanie próby technologicznej i odcinka próbnego,</w:t>
      </w:r>
    </w:p>
    <w:p w:rsidR="0065609C" w:rsidRPr="00E10B94" w:rsidRDefault="00D352B5" w:rsidP="00E10B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65609C" w:rsidRPr="00E10B94">
        <w:rPr>
          <w:rFonts w:ascii="Arial" w:hAnsi="Arial" w:cs="Arial"/>
        </w:rPr>
        <w:t>wyprodukowanie mieszanki betonu asfaltowego i jej transport na miejsce wbudowania,</w:t>
      </w:r>
    </w:p>
    <w:p w:rsidR="0065609C" w:rsidRPr="00E10B94" w:rsidRDefault="00D352B5" w:rsidP="00E10B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65609C" w:rsidRPr="00E10B94">
        <w:rPr>
          <w:rFonts w:ascii="Arial" w:hAnsi="Arial" w:cs="Arial"/>
        </w:rPr>
        <w:t>posmarowanie lepiszczem lub pokrycie taśmą asfaltową krawędzi urządzeń obcych</w:t>
      </w:r>
      <w:r>
        <w:rPr>
          <w:rFonts w:ascii="Arial" w:hAnsi="Arial" w:cs="Arial"/>
        </w:rPr>
        <w:br/>
      </w:r>
      <w:r w:rsidR="0065609C" w:rsidRPr="00E10B94">
        <w:rPr>
          <w:rFonts w:ascii="Arial" w:hAnsi="Arial" w:cs="Arial"/>
        </w:rPr>
        <w:t>i krawężników,</w:t>
      </w:r>
    </w:p>
    <w:p w:rsidR="0065609C" w:rsidRPr="00E10B94" w:rsidRDefault="00D352B5" w:rsidP="00E10B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65609C" w:rsidRPr="00E10B94">
        <w:rPr>
          <w:rFonts w:ascii="Arial" w:hAnsi="Arial" w:cs="Arial"/>
        </w:rPr>
        <w:t>rozłożenie i zagęszczenie mieszanki betonu asfaltowego,</w:t>
      </w:r>
    </w:p>
    <w:p w:rsidR="0065609C" w:rsidRPr="00E10B94" w:rsidRDefault="00D352B5" w:rsidP="00E10B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65609C" w:rsidRPr="00E10B94">
        <w:rPr>
          <w:rFonts w:ascii="Arial" w:hAnsi="Arial" w:cs="Arial"/>
        </w:rPr>
        <w:t>obcięcie krawędzi i posmarowanie lepiszczem,</w:t>
      </w:r>
    </w:p>
    <w:p w:rsidR="0065609C" w:rsidRPr="00E10B94" w:rsidRDefault="00D352B5" w:rsidP="00E10B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65609C" w:rsidRPr="00E10B94">
        <w:rPr>
          <w:rFonts w:ascii="Arial" w:hAnsi="Arial" w:cs="Arial"/>
        </w:rPr>
        <w:t>przeprowadzenie pomiarów i badań  wymaganych w specyfikacji technicznej,</w:t>
      </w:r>
    </w:p>
    <w:p w:rsidR="0065609C" w:rsidRPr="00E10B94" w:rsidRDefault="00D352B5" w:rsidP="00E10B94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- </w:t>
      </w:r>
      <w:r w:rsidR="0065609C" w:rsidRPr="00E10B94">
        <w:rPr>
          <w:rFonts w:ascii="Arial" w:hAnsi="Arial" w:cs="Arial"/>
        </w:rPr>
        <w:t>odwiezienie sprzętu.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D352B5">
        <w:rPr>
          <w:rFonts w:ascii="Arial" w:hAnsi="Arial" w:cs="Arial"/>
          <w:b/>
        </w:rPr>
        <w:lastRenderedPageBreak/>
        <w:t>9.3.</w:t>
      </w:r>
      <w:r w:rsidRPr="00E10B94">
        <w:rPr>
          <w:rFonts w:ascii="Arial" w:hAnsi="Arial" w:cs="Arial"/>
        </w:rPr>
        <w:t xml:space="preserve"> Sposób rozliczenia robót tymczasowych i prac towarzyszących</w:t>
      </w:r>
      <w:r w:rsidR="00D352B5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Cena wykonania robót określonych niniejszą SSTWiORB obejmuje:</w:t>
      </w:r>
    </w:p>
    <w:p w:rsidR="0065609C" w:rsidRPr="00E10B94" w:rsidRDefault="00D352B5" w:rsidP="00E10B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65609C" w:rsidRPr="00E10B94">
        <w:rPr>
          <w:rFonts w:ascii="Arial" w:hAnsi="Arial" w:cs="Arial"/>
        </w:rPr>
        <w:t>roboty tymczasowe, które są potrzebne do wykonania robót podstawowych, ale nie są przekazywane Zamawiającemu i są usuwane po wykonaniu robót podstawowych,</w:t>
      </w:r>
    </w:p>
    <w:p w:rsidR="0065609C" w:rsidRPr="00E10B94" w:rsidRDefault="00D352B5" w:rsidP="00E10B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65609C" w:rsidRPr="00E10B94">
        <w:rPr>
          <w:rFonts w:ascii="Arial" w:hAnsi="Arial" w:cs="Arial"/>
        </w:rPr>
        <w:t>prace towarzyszące, które są niezbędne do wykonania robót podstawowych, niezaliczane do robót tymczasowych, jak geodezyjne wytyczenie robót itd.</w:t>
      </w:r>
      <w:bookmarkStart w:id="12" w:name="_Toc237920708"/>
    </w:p>
    <w:p w:rsidR="0065609C" w:rsidRPr="00D352B5" w:rsidRDefault="0065609C" w:rsidP="00E10B94">
      <w:pPr>
        <w:jc w:val="both"/>
        <w:rPr>
          <w:rFonts w:ascii="Arial" w:hAnsi="Arial" w:cs="Arial"/>
          <w:b/>
        </w:rPr>
      </w:pPr>
      <w:r w:rsidRPr="00D352B5">
        <w:rPr>
          <w:rFonts w:ascii="Arial" w:hAnsi="Arial" w:cs="Arial"/>
          <w:b/>
        </w:rPr>
        <w:t xml:space="preserve">10. </w:t>
      </w:r>
      <w:bookmarkEnd w:id="12"/>
      <w:r w:rsidRPr="00D352B5">
        <w:rPr>
          <w:rFonts w:ascii="Arial" w:hAnsi="Arial" w:cs="Arial"/>
          <w:b/>
        </w:rPr>
        <w:t>PRZEPISY ZWIĄZANE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D352B5">
        <w:rPr>
          <w:rFonts w:ascii="Arial" w:hAnsi="Arial" w:cs="Arial"/>
          <w:b/>
        </w:rPr>
        <w:t>10.1.</w:t>
      </w:r>
      <w:r w:rsidRPr="00E10B94">
        <w:rPr>
          <w:rFonts w:ascii="Arial" w:hAnsi="Arial" w:cs="Arial"/>
        </w:rPr>
        <w:t xml:space="preserve"> Przepisy techniczno budowlane</w:t>
      </w:r>
      <w:r w:rsidR="00D352B5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Rozporządzenie Ministra Transportu i Gospodarki Morskiej z dnia 2 marca 1999 r. w sprawie warunków technicznych, jakim powinny odpowiadać drogi publiczne i ich usytuowanie (Dz.U. nr 43, poz. 430)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F121E9">
        <w:rPr>
          <w:rFonts w:ascii="Arial" w:hAnsi="Arial" w:cs="Arial"/>
          <w:b/>
        </w:rPr>
        <w:t>10.2.</w:t>
      </w:r>
      <w:r w:rsidRPr="00E10B94">
        <w:rPr>
          <w:rFonts w:ascii="Arial" w:hAnsi="Arial" w:cs="Arial"/>
        </w:rPr>
        <w:t xml:space="preserve"> Normy</w:t>
      </w:r>
      <w:r w:rsidR="00F121E9">
        <w:rPr>
          <w:rFonts w:ascii="Arial" w:hAnsi="Arial" w:cs="Arial"/>
        </w:rPr>
        <w:t>.</w:t>
      </w:r>
    </w:p>
    <w:tbl>
      <w:tblPr>
        <w:tblW w:w="9747" w:type="dxa"/>
        <w:tblLook w:val="01E0" w:firstRow="1" w:lastRow="1" w:firstColumn="1" w:lastColumn="1" w:noHBand="0" w:noVBand="0"/>
      </w:tblPr>
      <w:tblGrid>
        <w:gridCol w:w="534"/>
        <w:gridCol w:w="1842"/>
        <w:gridCol w:w="7371"/>
      </w:tblGrid>
      <w:tr w:rsidR="0065609C" w:rsidRPr="00E10B94" w:rsidTr="00BA28B2">
        <w:tc>
          <w:tcPr>
            <w:tcW w:w="534" w:type="dxa"/>
          </w:tcPr>
          <w:p w:rsidR="0065609C" w:rsidRPr="00E10B94" w:rsidRDefault="00F121E9" w:rsidP="00F121E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196-21:1997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Metody badania cementu – Oznaczanie zawartości chlorków, dwutlenku węgla i alkaliów w cemencie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459-2:2003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Wapno budowlane – Część 2: Metody badań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F121E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932-3:1999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Badania podstawowych właściwości kruszyw – Procedura i terminologia uproszczonego opisu petrograficznego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F121E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933-1:2000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Badania geometrycznych właściwości kruszyw – Oznaczanie składu ziarnowego – Metoda przesiewania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F121E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933-3:1999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Badania geometrycznych właściwości kruszyw – Oznaczanie kształtu ziaren za pomocą wskaźnika płaskości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933-4:2008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Badania geometrycznych właściwości kruszyw – Część 4: Oznaczanie kształtu ziaren – Wskaźnik kształtu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933-5:2000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Badania geometrycznych właściwości kruszyw – Oznaczanie procentowej zawartości ziaren o powierzchniach powstałych w wyniku przekruszenia lub łamania kruszyw grubych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933-6:2002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Badania geometrycznych właściwości kruszyw – Część 6: Ocena właściwości powierzchni – Wskaźnik przepływu kruszywa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933-9:2009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Badania geometrycznych właściwości kruszyw – Ocena zawartości drobnych cząstek – Badania błękitem metylenowym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65609C" w:rsidP="00F121E9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1</w:t>
            </w:r>
            <w:r w:rsidR="00F121E9">
              <w:rPr>
                <w:rFonts w:ascii="Arial" w:hAnsi="Arial" w:cs="Arial"/>
              </w:rPr>
              <w:t>0</w:t>
            </w:r>
            <w:r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933-10:2009</w:t>
            </w:r>
          </w:p>
        </w:tc>
        <w:tc>
          <w:tcPr>
            <w:tcW w:w="7371" w:type="dxa"/>
          </w:tcPr>
          <w:p w:rsidR="0065609C" w:rsidRDefault="0065609C" w:rsidP="00F121E9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Badania geometrycznych właściwości kruszyw – Część 10: Ocena zawartości drobnych cząstek – Uziarnienie wypełniaczy (przesiewanie</w:t>
            </w:r>
            <w:r w:rsidR="00F121E9">
              <w:rPr>
                <w:rFonts w:ascii="Arial" w:hAnsi="Arial" w:cs="Arial"/>
              </w:rPr>
              <w:br/>
            </w:r>
            <w:r w:rsidRPr="00E10B94">
              <w:rPr>
                <w:rFonts w:ascii="Arial" w:hAnsi="Arial" w:cs="Arial"/>
              </w:rPr>
              <w:t>w strumieniu powietrza)</w:t>
            </w:r>
          </w:p>
          <w:p w:rsidR="00F121E9" w:rsidRPr="00E10B94" w:rsidRDefault="00F121E9" w:rsidP="00F121E9">
            <w:pPr>
              <w:jc w:val="both"/>
              <w:rPr>
                <w:rFonts w:ascii="Arial" w:hAnsi="Arial" w:cs="Arial"/>
              </w:rPr>
            </w:pP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11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1097-2:2010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Badania mechanicznych i fizycznych właściwości kruszyw – Metody oznaczania odporności na rozdrabnianie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65609C" w:rsidP="00F121E9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1</w:t>
            </w:r>
            <w:r w:rsidR="00F121E9">
              <w:rPr>
                <w:rFonts w:ascii="Arial" w:hAnsi="Arial" w:cs="Arial"/>
              </w:rPr>
              <w:t>2</w:t>
            </w:r>
            <w:r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1097-3:2000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Badania mechanicznych i fizycznych właściwości kruszyw – Oznaczanie gęstości nasypowej i jamistości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1097-4:2008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Badania mechanicznych i fizycznych właściwości kruszyw – Część 4: Oznaczanie pustych przestrzeni suchego, zagęszczonego wypełniacza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1097-5:2008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Badania mechanicznych i fizycznych właściwości kruszyw – Część 5: Oznaczanie zawartości wody przez suszenie w suszarce z wentylacją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1097-6:2002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Badania mechanicznych i fizycznych właściwości kruszyw –Część 6: Oznaczanie gęstości ziaren i nasiąkliwości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1097-7:2008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Badania mechanicznych i fizycznych właściwości kruszyw – Część 7: Oznaczanie gęstości wypełniacza – Metoda piknometryczna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1097-8:2009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Badania mechanicznych i fizycznych właściwości kruszyw – Część 8: Oznaczanie polerowalności kamienia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1367-1:2007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Badania właściwości cieplnych i odporności kruszyw na działanie czynników atmosferycznych – Część 1: Oznaczanie mrozoodporności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1367-3:2002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Badania właściwości cieplnych i odporności kruszyw na działanie czynników atmosferycznych – Część 3: Badanie bazaltowej zgorzeli słonecznej metodą gotowania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1426:2009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Asfalty i produkty asfaltowe – Oznaczanie penetracji igłą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  <w:r w:rsidR="0065609C" w:rsidRPr="00E10B94">
              <w:rPr>
                <w:rFonts w:ascii="Arial" w:hAnsi="Arial" w:cs="Arial"/>
              </w:rPr>
              <w:t xml:space="preserve">. 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1427:2009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Asfalty i produkty asfaltowe – Oznaczanie temperatury mięknienia – Metoda Pierścień i Kula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  <w:r w:rsidR="0065609C" w:rsidRPr="00E10B94">
              <w:rPr>
                <w:rFonts w:ascii="Arial" w:hAnsi="Arial" w:cs="Arial"/>
              </w:rPr>
              <w:t xml:space="preserve">. 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1428:2009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Asfalty i lepiszcza asfaltowe – Oznaczanie zawartości wody w emulsjach asfaltowych – Metoda destylacji azeotropowej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1429:2009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Asfalty i lepiszcza asfaltowe – Oznaczanie pozostałości na sicie emulsji asfaltowych oraz trwałości podczas magazynowania metodą pozostałości na sicie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1744-1:2010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Badania chemicznych właściwości kruszyw – Analiza chemiczna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1744-4:2008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Badania chemicznych właściwości kruszyw – Część 4: Oznaczanie podatności wypełniaczy do mieszanek mineralno-asfaltowych na działanie wody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12591:2010</w:t>
            </w:r>
          </w:p>
          <w:p w:rsidR="00F121E9" w:rsidRPr="00E10B94" w:rsidRDefault="00F121E9" w:rsidP="00E10B9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Asfalty i produkty asfaltowe – Wymagania dla asfaltów drogowych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27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12592:2009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Asfalty i produkty asfaltowe – Oznaczanie rozpuszczalności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12593:2009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Asfalty i produkty asfaltowe – Oznaczanie temperatury łamliwości Fraassa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12606-1:2009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Asfalty i produkty asfaltowe – Oznaczanie zawartości parafiny – Część 1: Metoda destylacyjna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12607-1:2009</w:t>
            </w: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12607-3:2010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Asfalty i produkty asfaltowe – Oznaczanie odporności na twardnienie pod wpływem ciepła i powietrza – Część 1: Metoda RTFOT</w:t>
            </w:r>
            <w:r w:rsidR="00F121E9">
              <w:rPr>
                <w:rFonts w:ascii="Arial" w:hAnsi="Arial" w:cs="Arial"/>
              </w:rPr>
              <w:t xml:space="preserve"> i </w:t>
            </w: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Jw. Część 3: Metoda RFT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12697-6:2008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Mieszanki mineralno-asfaltowe – Metody badań mieszanek mineralno-asfaltowych na gorąco – Część 6: Oznaczanie gęstości objętościowej metodą hydrostatyczną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12697-8:2005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Mieszanki mineralno-asfaltowe – Metody badań mieszanek mineralno-asfaltowych na gorąco – Część 8: Oznaczanie zawartości wolnej przestrzeni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12697-11:2009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Mieszanki mineralno-asfaltowe – Metody badań mieszanek mineralno-asfaltowych na gorąco – Część 11: Określenie powiązania pomiędzy kruszywem i asfaltem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12697-12:2008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Mieszanki mineralno-asfaltowe – Metody badań mieszanek mineralno-asfaltowych na gorąco – Część 12: Określanie wrażliwości na wodę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12697-13:2005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Mieszanki mineralno-asfaltowe – Metody badań mieszanek mineralno-asfaltowych na gorąco – Część 13: Pomiar temperatury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12697-18:2007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Mieszanki mineralno-asfaltowe – Metody badań mieszanek mineralno-asfaltowych na gorąco – Część 18: Spływanie lepiszcza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65609C" w:rsidP="00F121E9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3</w:t>
            </w:r>
            <w:r w:rsidR="00F121E9">
              <w:rPr>
                <w:rFonts w:ascii="Arial" w:hAnsi="Arial" w:cs="Arial"/>
              </w:rPr>
              <w:t>7</w:t>
            </w:r>
            <w:r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12697-22:2004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Mieszanki mineralno-asfaltowe – Metody badań mieszanek mineralno-asfaltowych na gorąco – Część 22: Koleinowanie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65609C" w:rsidP="00F121E9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3</w:t>
            </w:r>
            <w:r w:rsidR="00F121E9">
              <w:rPr>
                <w:rFonts w:ascii="Arial" w:hAnsi="Arial" w:cs="Arial"/>
              </w:rPr>
              <w:t>8</w:t>
            </w:r>
            <w:r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12697-27:2005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Mieszanki mineralno-asfaltowe – Metody badań mieszanek mineralno-asfaltowych na gorąco – Część 27: Pobieranie próbek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F121E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12697-36:2005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Mieszanki mineralno-asfaltowe – Metody badań mieszanek mineralno-asfaltowych na gorąco – Część 36: Oznaczanie grubości nawierzchni asfaltowych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65609C" w:rsidP="00F121E9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4</w:t>
            </w:r>
            <w:r w:rsidR="00F121E9">
              <w:rPr>
                <w:rFonts w:ascii="Arial" w:hAnsi="Arial" w:cs="Arial"/>
              </w:rPr>
              <w:t>0</w:t>
            </w:r>
            <w:r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12846:2009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Asfalty i lepiszcza asfaltowe – Oznaczanie czasu wypływu emulsji asfaltowych lepkościomierzem wypływowym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65609C" w:rsidP="00F121E9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4</w:t>
            </w:r>
            <w:r w:rsidR="00F121E9">
              <w:rPr>
                <w:rFonts w:ascii="Arial" w:hAnsi="Arial" w:cs="Arial"/>
              </w:rPr>
              <w:t>1</w:t>
            </w:r>
            <w:r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12847:2009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Asfalty i lepiszcza asfaltowe – Oznaczanie sedymentacji emulsji asfaltowych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65609C" w:rsidP="00F121E9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lastRenderedPageBreak/>
              <w:t>4</w:t>
            </w:r>
            <w:r w:rsidR="00F121E9">
              <w:rPr>
                <w:rFonts w:ascii="Arial" w:hAnsi="Arial" w:cs="Arial"/>
              </w:rPr>
              <w:t>2</w:t>
            </w:r>
            <w:r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12850:2009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Asfalty i lepiszcza asfaltowe – Oznaczanie wartości pH emulsji asfaltowych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13043:2004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Kruszywa do mieszanek bitumicznych i powierzchniowych utrwaleń stosowanych na drogach, lotniskach i innych powierzchniach przeznaczonych do ruchu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13074:2009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Asfalty i lepiszcza asfaltowe – Oznaczanie lepiszczy z emulsji asfaltowych przez odparowanie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13075-1:2009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Asfalty i lepiszcza asfaltowe – Badanie rozpadu – Część 1: Oznaczanie indeksu rozpadu kationowych emulsji asfaltowych, metoda z wypełniaczem mineralnym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13108-1:2008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Mieszanki mineralno-asfaltowe – Wymagania – Część 1: Beton asfaltowy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13108-20:2008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Mieszanki mineralno-asfaltowe – Wymagania – Część 20: Badanie typu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13179-1:2002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Badania kruszyw wypełniających stosowanych do mieszanek bitumicznych – Część 1: Badanie metodą Pierścienia i Kuli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13179-2:2002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Badania kruszyw wypełniających stosowanych do mieszanek bitumicznych – Część 2: Liczba bitumiczna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13398:2010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Asfalty i lepiszcza asfaltowe – Oznaczanie nawrotu sprężystego asfaltów modyfikowanych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13399:2010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Asfalty i lepiszcza asfaltowe – Oznaczanie odporności na magazynowanie modyfikowanych asfaltów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13587:2010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Asfalty i lepiszcza asfaltowe – Oznaczanie ciągliwości lepiszczy asfaltowych metodą pomiaru ciągliwości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13588:2009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Asfalty i lepiszcza asfaltowe – Oznaczanie kohezji lepiszczy asfaltowych metodą testu wahadłowego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13589:2008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Asfalty i lepiszcza asfaltowe – Oznaczanie ciągliwości modyfikowanych asfaltów – Metoda z duktylometrem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13614:2010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Asfalty i lepiszcza asfaltowe – Oznaczanie przyczepności emulsji bitumicznych przez zanurzenie w wodzie – Metoda z kruszywem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13703:2009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Asfalty i lepiszcza asfaltowe – Oznaczanie energii deformacji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13808:2010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Asfalty i lepiszcza asfaltowe – Zasady specyfikacji kationowych emulsji asfaltowych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14023:2010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Asfalty i lepiszcza asfaltowe – Zasady specyfikacji asfaltów modyfikowanych polimerami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59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14188-1:2010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Wypełniacze złączy i zalewy – Część 1: Specyfikacja zalew na gorąco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14188-2:2010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Wypełniacze złączy i zalewy – Część 2: Specyfikacja zalew na zimno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12592:2009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Przetwory naftowe – Oznaczanie temperatury zapłonu i palenia – Pomiar metodą otwartego tygla Clevelanda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ISO 2592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Oznaczanie temperatury zapłonu i palenia – Metoda otwartego tygla Clevelanda</w:t>
            </w:r>
          </w:p>
        </w:tc>
      </w:tr>
    </w:tbl>
    <w:p w:rsidR="0065609C" w:rsidRPr="00E10B94" w:rsidRDefault="0065609C" w:rsidP="00E10B94">
      <w:pPr>
        <w:jc w:val="both"/>
        <w:rPr>
          <w:rFonts w:ascii="Arial" w:hAnsi="Arial" w:cs="Arial"/>
        </w:rPr>
      </w:pP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F75FEE">
        <w:rPr>
          <w:rFonts w:ascii="Arial" w:hAnsi="Arial" w:cs="Arial"/>
          <w:b/>
        </w:rPr>
        <w:t>10.3.</w:t>
      </w:r>
      <w:r w:rsidRPr="00E10B94">
        <w:rPr>
          <w:rFonts w:ascii="Arial" w:hAnsi="Arial" w:cs="Arial"/>
        </w:rPr>
        <w:t xml:space="preserve"> Wymagania techniczne (rekomendowane przez Ministra Infrastruktury)</w:t>
      </w:r>
      <w:r w:rsidR="00F75FEE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WT-1 Kruszywa 2008. Kruszywa do mieszanek mineralno-asfaltowych i powierzchniowych utrwaleń na drogach publicznych, Warszawa 2008</w:t>
      </w:r>
      <w:r w:rsidR="00F75FEE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WT-2 Nawierzchnie asfaltowe 2008. Nawierzchnie asfaltowe na drogach publicznych</w:t>
      </w:r>
      <w:r w:rsidR="00F75FEE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WT-2 2010 Mieszanki mineralno – asfaltowe Wymagania techniczne</w:t>
      </w:r>
      <w:r w:rsidR="00F75FEE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WT-3 Emulsje asfaltowe 2009. Kationowe emulsje asfaltowe na drogach publicznych</w:t>
      </w:r>
      <w:r w:rsidR="00F75FEE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F75FEE">
        <w:rPr>
          <w:rFonts w:ascii="Arial" w:hAnsi="Arial" w:cs="Arial"/>
          <w:b/>
        </w:rPr>
        <w:t>10.4.</w:t>
      </w:r>
      <w:r w:rsidRPr="00E10B94">
        <w:rPr>
          <w:rFonts w:ascii="Arial" w:hAnsi="Arial" w:cs="Arial"/>
        </w:rPr>
        <w:t xml:space="preserve"> Inne dokumenty</w:t>
      </w:r>
      <w:r w:rsidR="00F75FEE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Katalog typowych konstrukcji nawierzchni podatnych i półsztywnych. Generalna Dyrekcja Dróg Publicznych – Instytut Badawczy Dróg i Mostów, Warszawa 1997</w:t>
      </w:r>
      <w:r w:rsidR="00F75FEE">
        <w:rPr>
          <w:rFonts w:ascii="Arial" w:hAnsi="Arial" w:cs="Arial"/>
        </w:rPr>
        <w:t>.</w:t>
      </w:r>
    </w:p>
    <w:p w:rsidR="00D74DDF" w:rsidRPr="00E10B94" w:rsidRDefault="00D74DDF" w:rsidP="00E10B94">
      <w:pPr>
        <w:jc w:val="both"/>
        <w:rPr>
          <w:rFonts w:ascii="Arial" w:hAnsi="Arial" w:cs="Arial"/>
        </w:rPr>
      </w:pPr>
    </w:p>
    <w:sectPr w:rsidR="00D74DDF" w:rsidRPr="00E10B94" w:rsidSect="00A54BBD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1636" w:rsidRDefault="00901636" w:rsidP="002E4614">
      <w:pPr>
        <w:spacing w:after="0" w:line="240" w:lineRule="auto"/>
      </w:pPr>
      <w:r>
        <w:separator/>
      </w:r>
    </w:p>
  </w:endnote>
  <w:endnote w:type="continuationSeparator" w:id="0">
    <w:p w:rsidR="00901636" w:rsidRDefault="00901636" w:rsidP="002E46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497438"/>
      <w:docPartObj>
        <w:docPartGallery w:val="Page Numbers (Bottom of Page)"/>
        <w:docPartUnique/>
      </w:docPartObj>
    </w:sdtPr>
    <w:sdtEndPr/>
    <w:sdtContent>
      <w:p w:rsidR="00BA28B2" w:rsidRDefault="0046726D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35C1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A28B2" w:rsidRDefault="00BA28B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1636" w:rsidRDefault="00901636" w:rsidP="002E4614">
      <w:pPr>
        <w:spacing w:after="0" w:line="240" w:lineRule="auto"/>
      </w:pPr>
      <w:r>
        <w:separator/>
      </w:r>
    </w:p>
  </w:footnote>
  <w:footnote w:type="continuationSeparator" w:id="0">
    <w:p w:rsidR="00901636" w:rsidRDefault="00901636" w:rsidP="002E46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5609C"/>
    <w:rsid w:val="00002F37"/>
    <w:rsid w:val="00037D89"/>
    <w:rsid w:val="00053844"/>
    <w:rsid w:val="00111E8D"/>
    <w:rsid w:val="00121A14"/>
    <w:rsid w:val="00232713"/>
    <w:rsid w:val="00246309"/>
    <w:rsid w:val="0025471F"/>
    <w:rsid w:val="002D76BA"/>
    <w:rsid w:val="002E4614"/>
    <w:rsid w:val="003304C6"/>
    <w:rsid w:val="00397A86"/>
    <w:rsid w:val="00424966"/>
    <w:rsid w:val="004577DB"/>
    <w:rsid w:val="0046726D"/>
    <w:rsid w:val="004739A3"/>
    <w:rsid w:val="0065609C"/>
    <w:rsid w:val="007E6502"/>
    <w:rsid w:val="00901636"/>
    <w:rsid w:val="0096351F"/>
    <w:rsid w:val="009D0628"/>
    <w:rsid w:val="00A54BBD"/>
    <w:rsid w:val="00BA28B2"/>
    <w:rsid w:val="00BA7433"/>
    <w:rsid w:val="00CF0F34"/>
    <w:rsid w:val="00D045B4"/>
    <w:rsid w:val="00D352B5"/>
    <w:rsid w:val="00D4231D"/>
    <w:rsid w:val="00D72AD8"/>
    <w:rsid w:val="00D74DDF"/>
    <w:rsid w:val="00E0189A"/>
    <w:rsid w:val="00E10B94"/>
    <w:rsid w:val="00F121E9"/>
    <w:rsid w:val="00F35C1F"/>
    <w:rsid w:val="00F5519E"/>
    <w:rsid w:val="00F75FEE"/>
    <w:rsid w:val="00FC4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B5F7E463-43C8-4E04-8783-B25B8ADA2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54BBD"/>
  </w:style>
  <w:style w:type="paragraph" w:styleId="Nagwek7">
    <w:name w:val="heading 7"/>
    <w:basedOn w:val="Normalny"/>
    <w:next w:val="Normalny"/>
    <w:link w:val="Nagwek7Znak"/>
    <w:qFormat/>
    <w:rsid w:val="0065609C"/>
    <w:pPr>
      <w:keepNext/>
      <w:keepLines/>
      <w:overflowPunct w:val="0"/>
      <w:autoSpaceDE w:val="0"/>
      <w:autoSpaceDN w:val="0"/>
      <w:adjustRightInd w:val="0"/>
      <w:spacing w:before="200" w:after="0" w:line="240" w:lineRule="auto"/>
      <w:jc w:val="center"/>
      <w:textAlignment w:val="baseline"/>
      <w:outlineLvl w:val="6"/>
    </w:pPr>
    <w:rPr>
      <w:rFonts w:ascii="Times New Roman" w:eastAsia="Times New Roman" w:hAnsi="Times New Roman" w:cs="Times New Roman"/>
      <w:b/>
      <w:iCs/>
      <w:color w:val="404040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7Znak">
    <w:name w:val="Nagłówek 7 Znak"/>
    <w:basedOn w:val="Domylnaczcionkaakapitu"/>
    <w:link w:val="Nagwek7"/>
    <w:rsid w:val="0065609C"/>
    <w:rPr>
      <w:rFonts w:ascii="Times New Roman" w:eastAsia="Times New Roman" w:hAnsi="Times New Roman" w:cs="Times New Roman"/>
      <w:b/>
      <w:iCs/>
      <w:color w:val="404040"/>
      <w:sz w:val="24"/>
      <w:szCs w:val="20"/>
    </w:rPr>
  </w:style>
  <w:style w:type="paragraph" w:styleId="Nagwek">
    <w:name w:val="header"/>
    <w:basedOn w:val="Normalny"/>
    <w:link w:val="NagwekZnak"/>
    <w:uiPriority w:val="99"/>
    <w:semiHidden/>
    <w:unhideWhenUsed/>
    <w:rsid w:val="002E46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E4614"/>
  </w:style>
  <w:style w:type="paragraph" w:styleId="Stopka">
    <w:name w:val="footer"/>
    <w:basedOn w:val="Normalny"/>
    <w:link w:val="StopkaZnak"/>
    <w:uiPriority w:val="99"/>
    <w:unhideWhenUsed/>
    <w:rsid w:val="002E46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E4614"/>
  </w:style>
  <w:style w:type="paragraph" w:styleId="Tekstdymka">
    <w:name w:val="Balloon Text"/>
    <w:basedOn w:val="Normalny"/>
    <w:link w:val="TekstdymkaZnak"/>
    <w:uiPriority w:val="99"/>
    <w:semiHidden/>
    <w:unhideWhenUsed/>
    <w:rsid w:val="00F35C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5C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5722</Words>
  <Characters>34335</Characters>
  <Application>Microsoft Office Word</Application>
  <DocSecurity>0</DocSecurity>
  <Lines>286</Lines>
  <Paragraphs>79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Marylka</cp:lastModifiedBy>
  <cp:revision>22</cp:revision>
  <cp:lastPrinted>2015-04-02T15:45:00Z</cp:lastPrinted>
  <dcterms:created xsi:type="dcterms:W3CDTF">2013-04-18T07:24:00Z</dcterms:created>
  <dcterms:modified xsi:type="dcterms:W3CDTF">2015-04-02T15:45:00Z</dcterms:modified>
</cp:coreProperties>
</file>