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5D5" w:rsidRPr="009D2D1A" w:rsidRDefault="00CF55D5" w:rsidP="00CF55D5">
      <w:pPr>
        <w:jc w:val="center"/>
        <w:rPr>
          <w:rFonts w:ascii="Arial" w:hAnsi="Arial" w:cs="Arial"/>
          <w:b/>
          <w:sz w:val="24"/>
          <w:szCs w:val="24"/>
        </w:rPr>
      </w:pPr>
      <w:r w:rsidRPr="009D2D1A">
        <w:rPr>
          <w:rFonts w:ascii="Arial" w:hAnsi="Arial" w:cs="Arial"/>
          <w:b/>
          <w:sz w:val="24"/>
          <w:szCs w:val="24"/>
        </w:rPr>
        <w:t>SZCZEGÓŁOWA SPECYFIKACJA TECHNICZNA WYKONANIA I ODBIORU ROBÓT BUDOWLANYCH</w:t>
      </w:r>
    </w:p>
    <w:p w:rsidR="00CF55D5" w:rsidRDefault="00CF55D5" w:rsidP="009D2D1A">
      <w:pPr>
        <w:pStyle w:val="Nagwek7"/>
        <w:rPr>
          <w:rFonts w:ascii="Arial" w:hAnsi="Arial" w:cs="Arial"/>
          <w:sz w:val="22"/>
          <w:szCs w:val="22"/>
        </w:rPr>
      </w:pPr>
      <w:bookmarkStart w:id="0" w:name="_Toc282411139"/>
      <w:bookmarkStart w:id="1" w:name="_Toc349801803"/>
      <w:bookmarkStart w:id="2" w:name="_Toc349899678"/>
      <w:r w:rsidRPr="009D2D1A">
        <w:rPr>
          <w:rFonts w:ascii="Arial" w:hAnsi="Arial" w:cs="Arial"/>
          <w:sz w:val="22"/>
          <w:szCs w:val="22"/>
        </w:rPr>
        <w:t>D - 06.03.01 ŚCINANIE  I  UZUPEŁNIANIE  POBOCZY</w:t>
      </w:r>
      <w:bookmarkEnd w:id="0"/>
      <w:bookmarkEnd w:id="1"/>
      <w:bookmarkEnd w:id="2"/>
    </w:p>
    <w:p w:rsidR="009D2D1A" w:rsidRPr="009D2D1A" w:rsidRDefault="009D2D1A" w:rsidP="009D2D1A"/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bookmarkStart w:id="3" w:name="_Toc428247148"/>
      <w:r w:rsidRPr="009D2D1A">
        <w:rPr>
          <w:rFonts w:ascii="Arial" w:hAnsi="Arial" w:cs="Arial"/>
          <w:b/>
        </w:rPr>
        <w:t>1. WSTĘP</w:t>
      </w:r>
      <w:bookmarkEnd w:id="3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1.1.</w:t>
      </w:r>
      <w:r w:rsidRPr="009D2D1A">
        <w:rPr>
          <w:rFonts w:ascii="Arial" w:hAnsi="Arial" w:cs="Arial"/>
        </w:rPr>
        <w:t xml:space="preserve"> Przedmiot SSTWiORB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Przedmiotem niniejszej szczegółowej specyfikacji technicznej wykonania i odbioru robót budowlanych (SSTWiORB) są wymagania dotyczące wykonania i odbioru robót związanych ze ścinaniem i u</w:t>
      </w:r>
      <w:r w:rsidR="00AB401E">
        <w:rPr>
          <w:rFonts w:ascii="Arial" w:hAnsi="Arial" w:cs="Arial"/>
        </w:rPr>
        <w:t>zupełnianiem poboczy dla z</w:t>
      </w:r>
      <w:bookmarkStart w:id="4" w:name="_GoBack"/>
      <w:bookmarkEnd w:id="4"/>
      <w:r w:rsidR="000671FD">
        <w:rPr>
          <w:rFonts w:ascii="Arial" w:hAnsi="Arial" w:cs="Arial"/>
        </w:rPr>
        <w:t>adania  Modernizacja drogi dojazdowej do gruntów rolnych w Olszanicy dz.nr.348 , 32/3 gm. Zagrodno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1.2.</w:t>
      </w:r>
      <w:r w:rsidRPr="009D2D1A">
        <w:rPr>
          <w:rFonts w:ascii="Arial" w:hAnsi="Arial" w:cs="Arial"/>
        </w:rPr>
        <w:t xml:space="preserve"> Zakres stosowania SSTWiORB</w:t>
      </w:r>
      <w:r w:rsidR="009D2D1A">
        <w:rPr>
          <w:rFonts w:ascii="Arial" w:hAnsi="Arial" w:cs="Arial"/>
        </w:rPr>
        <w:t>.</w:t>
      </w:r>
    </w:p>
    <w:p w:rsidR="00C72559" w:rsidRPr="00C72559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Szczegółowa specyfikacja techniczna wykonania i odbioru robót budowlanych (SSTWiORB) stanowi dokument przetargowy i kontraktowy przy realizacji inwestycji</w:t>
      </w:r>
      <w:r w:rsidR="00AF2F2D">
        <w:rPr>
          <w:rFonts w:ascii="Arial" w:hAnsi="Arial" w:cs="Arial"/>
        </w:rPr>
        <w:t xml:space="preserve"> </w:t>
      </w:r>
      <w:r w:rsidR="009D2D1A" w:rsidRPr="00AF2F2D">
        <w:rPr>
          <w:rFonts w:ascii="Arial" w:hAnsi="Arial" w:cs="Arial"/>
          <w:b/>
        </w:rPr>
        <w:t>:</w:t>
      </w:r>
      <w:r w:rsidR="00C72559" w:rsidRPr="00C72559">
        <w:rPr>
          <w:rFonts w:ascii="Arial" w:hAnsi="Arial" w:cs="Arial"/>
        </w:rPr>
        <w:t xml:space="preserve">Modernizacja drogi dojazdowej do gruntów rolnych w Olszanicy dz.nr.348 , 32/3 gm. Zagrodno 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 1.3.</w:t>
      </w:r>
      <w:r w:rsidRPr="009D2D1A">
        <w:rPr>
          <w:rFonts w:ascii="Arial" w:hAnsi="Arial" w:cs="Arial"/>
        </w:rPr>
        <w:t xml:space="preserve"> Zakres robót objętych SSTWiORB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Ustalenia zawarte w niniejszej specyfikacji dotyczą zasad prowadzenia robót związanych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ze ścinaniem zawyżonych poboczy i uzupełnianiem zaniżonych poboczy.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1.4.</w:t>
      </w:r>
      <w:r w:rsidRPr="009D2D1A">
        <w:rPr>
          <w:rFonts w:ascii="Arial" w:hAnsi="Arial" w:cs="Arial"/>
        </w:rPr>
        <w:t xml:space="preserve"> Określenia podstawowe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1.4.1. </w:t>
      </w:r>
      <w:r w:rsidRPr="009D2D1A">
        <w:rPr>
          <w:rFonts w:ascii="Arial" w:hAnsi="Arial" w:cs="Arial"/>
        </w:rPr>
        <w:t>Pobocze gruntowe - część korony drogi przeznaczona do chwilowego zatrzymania się pojazdów, umieszczenia urządzeń bezpieczeństwa ruchu i wykorzystywana do ruchu pieszych, służąca jednocześnie do bocznego oparcia konstrukcji nawierzchni.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1.4.2. </w:t>
      </w:r>
      <w:r w:rsidRPr="009D2D1A">
        <w:rPr>
          <w:rFonts w:ascii="Arial" w:hAnsi="Arial" w:cs="Arial"/>
        </w:rPr>
        <w:t>Odkład - miejsce składowania gruntu pozyskanego w czasie ścinania poboczy.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1.4.3. </w:t>
      </w:r>
      <w:r w:rsidRPr="009D2D1A">
        <w:rPr>
          <w:rFonts w:ascii="Arial" w:hAnsi="Arial" w:cs="Arial"/>
        </w:rPr>
        <w:t>Dokop - miejsce pozyskania gruntu do wykonania uzupełnienia poboczy położone poza pasem drogowym.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1.4.4. </w:t>
      </w:r>
      <w:r w:rsidRPr="009D2D1A">
        <w:rPr>
          <w:rFonts w:ascii="Arial" w:hAnsi="Arial" w:cs="Arial"/>
        </w:rPr>
        <w:t>Pozostałe określenia podstawowe są zgodne z obowiązującymi, odpowiednimi polskimi normami i z definicjami podanymi w SSTWiORB D-M-00.00.00 „Wymagania ogólne” pkt 1.4.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1.5.</w:t>
      </w:r>
      <w:r w:rsidRPr="009D2D1A">
        <w:rPr>
          <w:rFonts w:ascii="Arial" w:hAnsi="Arial" w:cs="Arial"/>
        </w:rPr>
        <w:t xml:space="preserve"> Ogólne wymagania dotyczące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robót podano w SSTWiORB D-M-00.00.00 „Wymagania ogólne” pkt 1.5.</w:t>
      </w:r>
      <w:bookmarkStart w:id="5" w:name="_Toc428247149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2. MATERIAŁY</w:t>
      </w:r>
      <w:bookmarkEnd w:id="5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2.1.</w:t>
      </w:r>
      <w:r w:rsidRPr="009D2D1A">
        <w:rPr>
          <w:rFonts w:ascii="Arial" w:hAnsi="Arial" w:cs="Arial"/>
        </w:rPr>
        <w:t xml:space="preserve"> Ogólne wymagania dotyczące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materiałów, ich pozyskiwania i składowania, podano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w  SSTWiORB D-M-00.00.00 „Wymagania ogólne” pkt 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lastRenderedPageBreak/>
        <w:t>2.2.</w:t>
      </w:r>
      <w:r w:rsidRPr="009D2D1A">
        <w:rPr>
          <w:rFonts w:ascii="Arial" w:hAnsi="Arial" w:cs="Arial"/>
        </w:rPr>
        <w:t xml:space="preserve"> Rodzaje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Do uzupełnienia poboczy należy użyć frezowiny z rozbiórki nawierzchni bitumicznej</w:t>
      </w:r>
      <w:bookmarkStart w:id="6" w:name="_Toc428247150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3. SPRZĘT</w:t>
      </w:r>
      <w:bookmarkEnd w:id="6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3.1.</w:t>
      </w:r>
      <w:r w:rsidRPr="009D2D1A">
        <w:rPr>
          <w:rFonts w:ascii="Arial" w:hAnsi="Arial" w:cs="Arial"/>
        </w:rPr>
        <w:t xml:space="preserve"> Ogólne wymagania dotyczące sprzętu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sprzętu podano w SSTWiORB D-M-00.00.00 „Wymagania ogólne” pkt 3.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3.2.</w:t>
      </w:r>
      <w:r w:rsidRPr="009D2D1A">
        <w:rPr>
          <w:rFonts w:ascii="Arial" w:hAnsi="Arial" w:cs="Arial"/>
        </w:rPr>
        <w:t xml:space="preserve"> Sprzęt do ścinania i uzupełniania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Wykonawca przystępujący do wykonania robót określonych w niniejszej SSTWiORB powinien wykazać się możliwością korzystania z następującego sprzętu: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F55D5" w:rsidRPr="009D2D1A">
        <w:rPr>
          <w:rFonts w:ascii="Arial" w:hAnsi="Arial" w:cs="Arial"/>
        </w:rPr>
        <w:t>równiarek z transporterem (ścinarki poboczy),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równiarek do profilowania,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ładowarek czołowych,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walców,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płytowych zagęszczarek wibracyjnych,</w:t>
      </w:r>
    </w:p>
    <w:p w:rsidR="00CF55D5" w:rsidRPr="009D2D1A" w:rsidRDefault="009D2D1A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przewoźnych zbiorników na wodę.</w:t>
      </w:r>
      <w:bookmarkStart w:id="7" w:name="_Toc428247151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4. TRANSPORT</w:t>
      </w:r>
      <w:bookmarkEnd w:id="7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4.1.</w:t>
      </w:r>
      <w:r w:rsidRPr="009D2D1A">
        <w:rPr>
          <w:rFonts w:ascii="Arial" w:hAnsi="Arial" w:cs="Arial"/>
        </w:rPr>
        <w:t xml:space="preserve"> Ogólne wymagania dotyczące transportu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wymagania dotyczące transportu podano w SSTWiORB D-M-00.00.00 „Wymagania ogólne” pkt 4.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4.2.</w:t>
      </w:r>
      <w:r w:rsidRPr="009D2D1A">
        <w:rPr>
          <w:rFonts w:ascii="Arial" w:hAnsi="Arial" w:cs="Arial"/>
        </w:rPr>
        <w:t xml:space="preserve"> Transport materiałów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Przy wykonywaniu robót określonych w niniejszej SSTWiORB, można korzystać z dowolnych środków transportowych przeznaczonych do przewozu gruntu i frezowiny.</w:t>
      </w:r>
      <w:bookmarkStart w:id="8" w:name="_Toc428247152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5. WYKONANIE ROBÓT</w:t>
      </w:r>
      <w:bookmarkEnd w:id="8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5.1. </w:t>
      </w:r>
      <w:r w:rsidRPr="009D2D1A">
        <w:rPr>
          <w:rFonts w:ascii="Arial" w:hAnsi="Arial" w:cs="Arial"/>
        </w:rPr>
        <w:t>Ogólne zasady wykonania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wykonania robót podano w SSTWiORB D-M-00.00.00 „Wymagania ogólne” pkt 5.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5.2.</w:t>
      </w:r>
      <w:r w:rsidRPr="009D2D1A">
        <w:rPr>
          <w:rFonts w:ascii="Arial" w:hAnsi="Arial" w:cs="Arial"/>
        </w:rPr>
        <w:t xml:space="preserve"> Ścinanie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Ścinanie poboczy może być wykonywane ręcznie, za pomocą łopat lub sprzętem mechanicznym wg pkt 3.2.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Ścinanie poboczy należy przeprowadzić od krawędzi pobocza do krawędzi nawierzchni, zgodnie z założonym w dokumentacji projektowej spadkiem poprzecznym.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lastRenderedPageBreak/>
        <w:t>Nadmiar gruntu uzyskanego podczas ścinania poboczy należy wywieźć na odkład. Miejsce odkładu należy uzgodnić z In</w:t>
      </w:r>
      <w:r w:rsidR="009D2D1A">
        <w:rPr>
          <w:rFonts w:ascii="Arial" w:hAnsi="Arial" w:cs="Arial"/>
        </w:rPr>
        <w:t>spektorem Nadzoru</w:t>
      </w:r>
      <w:r w:rsidRP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Grunt pozostały w poboczu należy spulchnić na głębokość od 5 do </w:t>
      </w:r>
      <w:smartTag w:uri="urn:schemas-microsoft-com:office:smarttags" w:element="metricconverter">
        <w:smartTagPr>
          <w:attr w:name="ProductID" w:val="10 cm"/>
        </w:smartTagPr>
        <w:r w:rsidRPr="009D2D1A">
          <w:rPr>
            <w:rFonts w:ascii="Arial" w:hAnsi="Arial" w:cs="Arial"/>
          </w:rPr>
          <w:t>10 cm</w:t>
        </w:r>
      </w:smartTag>
      <w:r w:rsidRPr="009D2D1A">
        <w:rPr>
          <w:rFonts w:ascii="Arial" w:hAnsi="Arial" w:cs="Arial"/>
        </w:rPr>
        <w:t>, doprowadzić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do wilgotności optymalnej poprzez dodanie wody i zagęścić.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Wskaźnik zagęszczenia określony zgodnie z BN-77/8931-12, powinien wynosić co najmniej 0,98 maksymalnego zagęszczenia, według normalnej metody Proctora, zgodnie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z PN-B-04481.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5.3.</w:t>
      </w:r>
      <w:r w:rsidRPr="009D2D1A">
        <w:rPr>
          <w:rFonts w:ascii="Arial" w:hAnsi="Arial" w:cs="Arial"/>
        </w:rPr>
        <w:t xml:space="preserve"> Uzupełnianie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Pobocza należy uzupełnić materiałem określonym w pkt 2.2 niniejszej SSTWiORB. Miejsce, w którym wykonywane będzie uzupełnienie, należy spulchnić na głębokość od 2 do </w:t>
      </w:r>
      <w:smartTag w:uri="urn:schemas-microsoft-com:office:smarttags" w:element="metricconverter">
        <w:smartTagPr>
          <w:attr w:name="ProductID" w:val="3 cm"/>
        </w:smartTagPr>
        <w:r w:rsidRPr="009D2D1A">
          <w:rPr>
            <w:rFonts w:ascii="Arial" w:hAnsi="Arial" w:cs="Arial"/>
          </w:rPr>
          <w:t>3 cm</w:t>
        </w:r>
      </w:smartTag>
      <w:r w:rsidRPr="009D2D1A">
        <w:rPr>
          <w:rFonts w:ascii="Arial" w:hAnsi="Arial" w:cs="Arial"/>
        </w:rPr>
        <w:t>, doprowadzić do wilgotności optymalnej, a następnie</w:t>
      </w:r>
      <w:r w:rsidR="009D2D1A">
        <w:rPr>
          <w:rFonts w:ascii="Arial" w:hAnsi="Arial" w:cs="Arial"/>
        </w:rPr>
        <w:t xml:space="preserve"> ułożyć w nim warstwę materiału. </w:t>
      </w:r>
      <w:r w:rsidRPr="009D2D1A">
        <w:rPr>
          <w:rFonts w:ascii="Arial" w:hAnsi="Arial" w:cs="Arial"/>
        </w:rPr>
        <w:t>Zagęszczenie ułożonej warstwy materiału uzupełniającego należy prowadzić od krawędzi poboczy w kierunku krawędzi nawierzchni. Rodzaj sprzętu do zagęszczania musi być zaakceptowany przez In</w:t>
      </w:r>
      <w:r w:rsidR="009D2D1A">
        <w:rPr>
          <w:rFonts w:ascii="Arial" w:hAnsi="Arial" w:cs="Arial"/>
        </w:rPr>
        <w:t>spektora Nadzoru</w:t>
      </w:r>
      <w:r w:rsidRPr="009D2D1A">
        <w:rPr>
          <w:rFonts w:ascii="Arial" w:hAnsi="Arial" w:cs="Arial"/>
        </w:rPr>
        <w:t>. Zagęszczona powierzchnia powinna być równa, posiadać spadek poprzeczny zgodny z założonym w dokumentacji projektowej, oraz nie posiadać śladów po przejściu walców lub zagęszczarek.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Wskaźnik zagęszczenia wykonany według BN-77/8931-12 powinien wynosić co najmniej 0,98 maksymalnego zagęszczenia według normalnej próby Proctora, zgodnie z PN-B-04481.</w:t>
      </w:r>
      <w:bookmarkStart w:id="9" w:name="_Toc428247153"/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  <w:r w:rsidRPr="009D2D1A">
        <w:rPr>
          <w:rFonts w:ascii="Arial" w:hAnsi="Arial" w:cs="Arial"/>
          <w:b/>
        </w:rPr>
        <w:t>6. KONTROLA JAKOŚCI ROBÓT</w:t>
      </w:r>
      <w:bookmarkEnd w:id="9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6.1.</w:t>
      </w:r>
      <w:r w:rsidRPr="009D2D1A">
        <w:rPr>
          <w:rFonts w:ascii="Arial" w:hAnsi="Arial" w:cs="Arial"/>
        </w:rPr>
        <w:t xml:space="preserve"> Ogólne zasady kontroli jakości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kontroli jakości robót podano w SSTWiORB D-M-00.00.00 „Wymagania ogólne” pkt 6.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6.2.</w:t>
      </w:r>
      <w:r w:rsidRPr="009D2D1A">
        <w:rPr>
          <w:rFonts w:ascii="Arial" w:hAnsi="Arial" w:cs="Arial"/>
        </w:rPr>
        <w:t xml:space="preserve"> Badania w czasie robót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Częstotliwość oraz zakres badań i pomiarów w czasie prowadzenia robót  podano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t>w tablicy 1.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Tablica 1.</w:t>
      </w:r>
      <w:r w:rsidRPr="009D2D1A">
        <w:rPr>
          <w:rFonts w:ascii="Arial" w:hAnsi="Arial" w:cs="Arial"/>
        </w:rPr>
        <w:t xml:space="preserve"> Częstotliwość oraz zakres badań i pomiarów</w:t>
      </w:r>
      <w:r w:rsidR="009D2D1A">
        <w:rPr>
          <w:rFonts w:ascii="Arial" w:hAnsi="Arial" w:cs="Arial"/>
        </w:rPr>
        <w:t>.</w:t>
      </w: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339"/>
        <w:gridCol w:w="4733"/>
      </w:tblGrid>
      <w:tr w:rsidR="00CF55D5" w:rsidRPr="009D2D1A" w:rsidTr="009A7DFE">
        <w:tc>
          <w:tcPr>
            <w:tcW w:w="637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Lp.</w:t>
            </w:r>
          </w:p>
        </w:tc>
        <w:tc>
          <w:tcPr>
            <w:tcW w:w="4339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Wyszczególnienie badań</w:t>
            </w:r>
          </w:p>
        </w:tc>
        <w:tc>
          <w:tcPr>
            <w:tcW w:w="4733" w:type="dxa"/>
            <w:tcBorders>
              <w:bottom w:val="doub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Częstotliwość badań</w:t>
            </w:r>
          </w:p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Minimalna liczba badań na dziennej działce roboczej</w:t>
            </w:r>
          </w:p>
        </w:tc>
      </w:tr>
      <w:tr w:rsidR="00CF55D5" w:rsidRPr="009D2D1A" w:rsidTr="009A7DFE">
        <w:tc>
          <w:tcPr>
            <w:tcW w:w="637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1</w:t>
            </w:r>
          </w:p>
        </w:tc>
        <w:tc>
          <w:tcPr>
            <w:tcW w:w="4339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Wilgotność optymalna gruntu w ściętym poboczu</w:t>
            </w:r>
          </w:p>
        </w:tc>
        <w:tc>
          <w:tcPr>
            <w:tcW w:w="4733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 próbki</w:t>
            </w:r>
          </w:p>
        </w:tc>
      </w:tr>
      <w:tr w:rsidR="00CF55D5" w:rsidRPr="009D2D1A" w:rsidTr="009A7DFE">
        <w:tc>
          <w:tcPr>
            <w:tcW w:w="637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</w:t>
            </w:r>
          </w:p>
        </w:tc>
        <w:tc>
          <w:tcPr>
            <w:tcW w:w="4339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Wskaźnik zagęszczenia na ścinanych lub uzupełnianych poboczach</w:t>
            </w:r>
          </w:p>
        </w:tc>
        <w:tc>
          <w:tcPr>
            <w:tcW w:w="4733" w:type="dxa"/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2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9D2D1A">
                <w:rPr>
                  <w:rFonts w:ascii="Arial" w:hAnsi="Arial" w:cs="Arial"/>
                </w:rPr>
                <w:t>1 km</w:t>
              </w:r>
            </w:smartTag>
          </w:p>
        </w:tc>
      </w:tr>
    </w:tbl>
    <w:p w:rsidR="00CF55D5" w:rsidRDefault="00CF55D5" w:rsidP="009D2D1A">
      <w:pPr>
        <w:jc w:val="both"/>
        <w:rPr>
          <w:rFonts w:ascii="Arial" w:hAnsi="Arial" w:cs="Arial"/>
        </w:rPr>
      </w:pPr>
    </w:p>
    <w:p w:rsidR="009D2D1A" w:rsidRPr="009D2D1A" w:rsidRDefault="009D2D1A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lastRenderedPageBreak/>
        <w:t>6.3.</w:t>
      </w:r>
      <w:r w:rsidRPr="009D2D1A">
        <w:rPr>
          <w:rFonts w:ascii="Arial" w:hAnsi="Arial" w:cs="Arial"/>
        </w:rPr>
        <w:t xml:space="preserve"> Pomiar cech geometrycznych ścinanych lub uzupełnianych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Częstotliwość oraz zakres pomiarów po zakończeniu robót podano w tablicy 2.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>Tablica 2.</w:t>
      </w:r>
      <w:r w:rsidRPr="009D2D1A">
        <w:rPr>
          <w:rFonts w:ascii="Arial" w:hAnsi="Arial" w:cs="Arial"/>
        </w:rPr>
        <w:t xml:space="preserve"> Częstotliwość oraz zakres pomiarów ścinanych lub uzupełnianych poboczy</w:t>
      </w:r>
      <w:r w:rsidR="009D2D1A">
        <w:rPr>
          <w:rFonts w:ascii="Arial" w:hAnsi="Arial" w:cs="Arial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544"/>
        <w:gridCol w:w="3260"/>
      </w:tblGrid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  <w:b/>
              </w:rPr>
              <w:t xml:space="preserve"> </w:t>
            </w:r>
            <w:r w:rsidRPr="009D2D1A">
              <w:rPr>
                <w:rFonts w:ascii="Arial" w:hAnsi="Arial" w:cs="Arial"/>
              </w:rPr>
              <w:t>Lp.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Wyszczególnienie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2D1A">
              <w:rPr>
                <w:rFonts w:ascii="Arial" w:hAnsi="Arial" w:cs="Arial"/>
                <w:sz w:val="18"/>
                <w:szCs w:val="18"/>
              </w:rPr>
              <w:t>Minimalna częstotliwość pomiarów</w:t>
            </w:r>
          </w:p>
        </w:tc>
      </w:tr>
      <w:tr w:rsidR="00CF55D5" w:rsidRPr="009D2D1A" w:rsidTr="009A7DFE">
        <w:tc>
          <w:tcPr>
            <w:tcW w:w="63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Spadki poprzeczne</w:t>
            </w:r>
          </w:p>
        </w:tc>
        <w:tc>
          <w:tcPr>
            <w:tcW w:w="3260" w:type="dxa"/>
            <w:tcBorders>
              <w:left w:val="nil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2 razy na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9D2D1A">
                <w:rPr>
                  <w:rFonts w:ascii="Arial" w:hAnsi="Arial" w:cs="Arial"/>
                </w:rPr>
                <w:t>100 m</w:t>
              </w:r>
            </w:smartTag>
          </w:p>
        </w:tc>
      </w:tr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Równość podłużna</w:t>
            </w:r>
          </w:p>
        </w:tc>
        <w:tc>
          <w:tcPr>
            <w:tcW w:w="326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9D2D1A">
                <w:rPr>
                  <w:rFonts w:ascii="Arial" w:hAnsi="Arial" w:cs="Arial"/>
                </w:rPr>
                <w:t>50 m</w:t>
              </w:r>
            </w:smartTag>
          </w:p>
        </w:tc>
      </w:tr>
      <w:tr w:rsidR="00CF55D5" w:rsidRPr="009D2D1A" w:rsidTr="009A7DFE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  <w:r w:rsidRPr="009D2D1A">
              <w:rPr>
                <w:rFonts w:ascii="Arial" w:hAnsi="Arial" w:cs="Arial"/>
              </w:rPr>
              <w:t>Równość poprzeczna</w:t>
            </w:r>
          </w:p>
        </w:tc>
        <w:tc>
          <w:tcPr>
            <w:tcW w:w="3260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CF55D5" w:rsidRPr="009D2D1A" w:rsidRDefault="00CF55D5" w:rsidP="009D2D1A">
            <w:pPr>
              <w:jc w:val="both"/>
              <w:rPr>
                <w:rFonts w:ascii="Arial" w:hAnsi="Arial" w:cs="Arial"/>
              </w:rPr>
            </w:pPr>
          </w:p>
        </w:tc>
      </w:tr>
    </w:tbl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6.4.1. </w:t>
      </w:r>
      <w:r w:rsidRPr="009D2D1A">
        <w:rPr>
          <w:rFonts w:ascii="Arial" w:hAnsi="Arial" w:cs="Arial"/>
        </w:rPr>
        <w:t>Spadki poprzeczne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Spadki poprzeczne poboczy powinny być zgodne z dokumentacją projektową, z tolerancją</w:t>
      </w:r>
      <w:r w:rsidR="009D2D1A">
        <w:rPr>
          <w:rFonts w:ascii="Arial" w:hAnsi="Arial" w:cs="Arial"/>
        </w:rPr>
        <w:br/>
      </w:r>
      <w:r w:rsidRPr="009D2D1A">
        <w:rPr>
          <w:rFonts w:ascii="Arial" w:hAnsi="Arial" w:cs="Arial"/>
        </w:rPr>
        <w:sym w:font="Symbol" w:char="F0B1"/>
      </w:r>
      <w:r w:rsidRPr="009D2D1A">
        <w:rPr>
          <w:rFonts w:ascii="Arial" w:hAnsi="Arial" w:cs="Arial"/>
        </w:rPr>
        <w:t xml:space="preserve"> 1%.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  <w:b/>
        </w:rPr>
        <w:t xml:space="preserve">6.4.2. </w:t>
      </w:r>
      <w:r w:rsidRPr="009D2D1A">
        <w:rPr>
          <w:rFonts w:ascii="Arial" w:hAnsi="Arial" w:cs="Arial"/>
        </w:rPr>
        <w:t>Równość poboczy</w:t>
      </w:r>
      <w:r w:rsidR="009D2D1A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Nierówności podłużne i poprzeczne należy mierzyć łatą 4-metrową wg BN-68/8931-04.  Maksymalny prześwit pod łatą nie może przekraczać </w:t>
      </w:r>
      <w:smartTag w:uri="urn:schemas-microsoft-com:office:smarttags" w:element="metricconverter">
        <w:smartTagPr>
          <w:attr w:name="ProductID" w:val="15 mm"/>
        </w:smartTagPr>
        <w:r w:rsidRPr="009D2D1A">
          <w:rPr>
            <w:rFonts w:ascii="Arial" w:hAnsi="Arial" w:cs="Arial"/>
          </w:rPr>
          <w:t>15 mm</w:t>
        </w:r>
      </w:smartTag>
      <w:r w:rsidRPr="009D2D1A">
        <w:rPr>
          <w:rFonts w:ascii="Arial" w:hAnsi="Arial" w:cs="Arial"/>
        </w:rPr>
        <w:t>.</w:t>
      </w:r>
      <w:bookmarkStart w:id="10" w:name="_Toc428247154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7. OBMIAR ROBÓT</w:t>
      </w:r>
      <w:bookmarkEnd w:id="10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7.1.</w:t>
      </w:r>
      <w:r w:rsidRPr="009D2D1A">
        <w:rPr>
          <w:rFonts w:ascii="Arial" w:hAnsi="Arial" w:cs="Arial"/>
        </w:rPr>
        <w:t xml:space="preserve"> Ogólne zasady obmiaru robót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obmiaru robót podano w SSTWiORB D-M-00.00.00 „Wymagania ogólne”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pkt 7.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7.2.</w:t>
      </w:r>
      <w:r w:rsidRPr="009D2D1A">
        <w:rPr>
          <w:rFonts w:ascii="Arial" w:hAnsi="Arial" w:cs="Arial"/>
        </w:rPr>
        <w:t xml:space="preserve"> Jednostka obmiarowa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Jednostką obmiarową jest m</w:t>
      </w:r>
      <w:r w:rsidRPr="009D2D1A">
        <w:rPr>
          <w:rFonts w:ascii="Arial" w:hAnsi="Arial" w:cs="Arial"/>
          <w:vertAlign w:val="superscript"/>
        </w:rPr>
        <w:t>2</w:t>
      </w:r>
      <w:r w:rsidRPr="009D2D1A">
        <w:rPr>
          <w:rFonts w:ascii="Arial" w:hAnsi="Arial" w:cs="Arial"/>
        </w:rPr>
        <w:t xml:space="preserve"> (metr kwadratowy) wykonanych robót na poboczach. </w:t>
      </w:r>
      <w:bookmarkStart w:id="11" w:name="_Toc428247155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8. ODBIÓR ROBÓT</w:t>
      </w:r>
      <w:bookmarkEnd w:id="11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zasady odbioru robót podano w SSTWiORB D-M-00.00.00 „Wymagania ogólne”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pkt 8.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Roboty uznaje się za wykonane zgodnie z dokumentacją projektową, SSTWiORB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i wymaganiami Inżyniera/Kierownika projektu, jeżeli wszystkie pomiary i badania</w:t>
      </w:r>
      <w:r w:rsidR="00174741">
        <w:rPr>
          <w:rFonts w:ascii="Arial" w:hAnsi="Arial" w:cs="Arial"/>
        </w:rPr>
        <w:br/>
      </w:r>
      <w:r w:rsidRPr="009D2D1A">
        <w:rPr>
          <w:rFonts w:ascii="Arial" w:hAnsi="Arial" w:cs="Arial"/>
        </w:rPr>
        <w:t>z zachowaniem tolerancji wg pkt 6 dały wyniki pozytywne.</w:t>
      </w:r>
      <w:bookmarkStart w:id="12" w:name="_Toc428247156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9. PODSTAWA PŁATNO</w:t>
      </w:r>
      <w:r w:rsidR="00174741">
        <w:rPr>
          <w:rFonts w:ascii="Arial" w:hAnsi="Arial" w:cs="Arial"/>
          <w:b/>
        </w:rPr>
        <w:t>Ś</w:t>
      </w:r>
      <w:r w:rsidRPr="00174741">
        <w:rPr>
          <w:rFonts w:ascii="Arial" w:hAnsi="Arial" w:cs="Arial"/>
          <w:b/>
        </w:rPr>
        <w:t>CI</w:t>
      </w:r>
      <w:bookmarkEnd w:id="12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9.1. Ogólne ustalenia dotyczące podstawy płatności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Ogólne ustalenia dotyczące podstawy płatności podano w SSTWiORB D-M-00.00.00 „Wymagania ogólne” pkt 9.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lastRenderedPageBreak/>
        <w:t>9.2.</w:t>
      </w:r>
      <w:r w:rsidRPr="009D2D1A">
        <w:rPr>
          <w:rFonts w:ascii="Arial" w:hAnsi="Arial" w:cs="Arial"/>
        </w:rPr>
        <w:t xml:space="preserve"> Cena jednostki obmiarowej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9D2D1A">
          <w:rPr>
            <w:rFonts w:ascii="Arial" w:hAnsi="Arial" w:cs="Arial"/>
          </w:rPr>
          <w:t>1 m</w:t>
        </w:r>
        <w:r w:rsidRPr="009D2D1A">
          <w:rPr>
            <w:rFonts w:ascii="Arial" w:hAnsi="Arial" w:cs="Arial"/>
            <w:vertAlign w:val="superscript"/>
          </w:rPr>
          <w:t>2</w:t>
        </w:r>
      </w:smartTag>
      <w:r w:rsidRPr="009D2D1A">
        <w:rPr>
          <w:rFonts w:ascii="Arial" w:hAnsi="Arial" w:cs="Arial"/>
        </w:rPr>
        <w:t xml:space="preserve"> robót obejmuje: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prace pomiarowe i przygotowawcze,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oznakowanie robót,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ścięcie poboczy i zagęszczenie podłoża,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odwiezienie gruntu na odkład,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dostarczenie materiału uzupełniającego,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rozłożenie materiału,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zagęszczenie poboczy,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CF55D5" w:rsidRPr="009D2D1A">
        <w:rPr>
          <w:rFonts w:ascii="Arial" w:hAnsi="Arial" w:cs="Arial"/>
        </w:rPr>
        <w:t>przeprowadzenie pomiarów i badań laboratoryjnych wymaganych w specyfikacji technicznej.</w:t>
      </w:r>
      <w:bookmarkStart w:id="13" w:name="_Toc428247157"/>
    </w:p>
    <w:p w:rsidR="00CF55D5" w:rsidRPr="00174741" w:rsidRDefault="00CF55D5" w:rsidP="009D2D1A">
      <w:pPr>
        <w:jc w:val="both"/>
        <w:rPr>
          <w:rFonts w:ascii="Arial" w:hAnsi="Arial" w:cs="Arial"/>
          <w:b/>
        </w:rPr>
      </w:pPr>
      <w:r w:rsidRPr="00174741">
        <w:rPr>
          <w:rFonts w:ascii="Arial" w:hAnsi="Arial" w:cs="Arial"/>
          <w:b/>
        </w:rPr>
        <w:t>10. PRZEPISY ZWIĄZANE</w:t>
      </w:r>
      <w:bookmarkEnd w:id="13"/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10.1.</w:t>
      </w:r>
      <w:r w:rsidRPr="009D2D1A">
        <w:rPr>
          <w:rFonts w:ascii="Arial" w:hAnsi="Arial" w:cs="Arial"/>
        </w:rPr>
        <w:t xml:space="preserve"> Normy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1.  PN-B-04481:1988</w:t>
      </w:r>
      <w:r w:rsidRPr="009D2D1A">
        <w:rPr>
          <w:rFonts w:ascii="Arial" w:hAnsi="Arial" w:cs="Arial"/>
        </w:rPr>
        <w:tab/>
        <w:t xml:space="preserve">     Grunty budowlane. Badania laboratoryjne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2.  BN-68/8931-04   Drogi samochodowe. Pomiar równości nawierzchni planografem i łatą</w:t>
      </w:r>
      <w:r w:rsidR="00174741">
        <w:rPr>
          <w:rFonts w:ascii="Arial" w:hAnsi="Arial" w:cs="Arial"/>
        </w:rPr>
        <w:t>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9D2D1A">
        <w:rPr>
          <w:rFonts w:ascii="Arial" w:hAnsi="Arial" w:cs="Arial"/>
        </w:rPr>
        <w:t>3.  BN-77/8931-12   Oznaczenie wskaźnika zagęszczenia gruntu.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  <w:r w:rsidRPr="00174741">
        <w:rPr>
          <w:rFonts w:ascii="Arial" w:hAnsi="Arial" w:cs="Arial"/>
          <w:b/>
        </w:rPr>
        <w:t>10.2.</w:t>
      </w:r>
      <w:r w:rsidRPr="009D2D1A">
        <w:rPr>
          <w:rFonts w:ascii="Arial" w:hAnsi="Arial" w:cs="Arial"/>
        </w:rPr>
        <w:t xml:space="preserve"> Inne materiały</w:t>
      </w:r>
      <w:r w:rsidR="00174741">
        <w:rPr>
          <w:rFonts w:ascii="Arial" w:hAnsi="Arial" w:cs="Arial"/>
        </w:rPr>
        <w:t>.</w:t>
      </w:r>
    </w:p>
    <w:p w:rsidR="00CF55D5" w:rsidRPr="009D2D1A" w:rsidRDefault="00174741" w:rsidP="009D2D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55D5" w:rsidRPr="009D2D1A">
        <w:rPr>
          <w:rFonts w:ascii="Arial" w:hAnsi="Arial" w:cs="Arial"/>
        </w:rPr>
        <w:t>.  Stanisław Datka, Stanisław Luszawski: Drogowe roboty ziemne.</w:t>
      </w:r>
    </w:p>
    <w:p w:rsidR="00CF55D5" w:rsidRPr="009D2D1A" w:rsidRDefault="00CF55D5" w:rsidP="009D2D1A">
      <w:pPr>
        <w:jc w:val="both"/>
        <w:rPr>
          <w:rFonts w:ascii="Arial" w:hAnsi="Arial" w:cs="Arial"/>
        </w:rPr>
      </w:pPr>
    </w:p>
    <w:p w:rsidR="00CF55D5" w:rsidRPr="009D2D1A" w:rsidRDefault="00CF55D5" w:rsidP="009D2D1A">
      <w:pPr>
        <w:jc w:val="both"/>
        <w:rPr>
          <w:rFonts w:ascii="Arial" w:hAnsi="Arial" w:cs="Arial"/>
          <w:b/>
        </w:rPr>
      </w:pPr>
    </w:p>
    <w:p w:rsidR="00024E58" w:rsidRPr="009D2D1A" w:rsidRDefault="00024E58" w:rsidP="009D2D1A">
      <w:pPr>
        <w:jc w:val="both"/>
        <w:rPr>
          <w:rFonts w:ascii="Arial" w:hAnsi="Arial" w:cs="Arial"/>
        </w:rPr>
      </w:pPr>
    </w:p>
    <w:sectPr w:rsidR="00024E58" w:rsidRPr="009D2D1A" w:rsidSect="005F377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1A6" w:rsidRDefault="005E11A6" w:rsidP="009D2D1A">
      <w:pPr>
        <w:spacing w:after="0" w:line="240" w:lineRule="auto"/>
      </w:pPr>
      <w:r>
        <w:separator/>
      </w:r>
    </w:p>
  </w:endnote>
  <w:endnote w:type="continuationSeparator" w:id="0">
    <w:p w:rsidR="005E11A6" w:rsidRDefault="005E11A6" w:rsidP="009D2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11094"/>
      <w:docPartObj>
        <w:docPartGallery w:val="Page Numbers (Bottom of Page)"/>
        <w:docPartUnique/>
      </w:docPartObj>
    </w:sdtPr>
    <w:sdtEndPr/>
    <w:sdtContent>
      <w:p w:rsidR="009D2D1A" w:rsidRDefault="0036390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0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2D1A" w:rsidRDefault="009D2D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1A6" w:rsidRDefault="005E11A6" w:rsidP="009D2D1A">
      <w:pPr>
        <w:spacing w:after="0" w:line="240" w:lineRule="auto"/>
      </w:pPr>
      <w:r>
        <w:separator/>
      </w:r>
    </w:p>
  </w:footnote>
  <w:footnote w:type="continuationSeparator" w:id="0">
    <w:p w:rsidR="005E11A6" w:rsidRDefault="005E11A6" w:rsidP="009D2D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55D5"/>
    <w:rsid w:val="00024E58"/>
    <w:rsid w:val="000671FD"/>
    <w:rsid w:val="00174741"/>
    <w:rsid w:val="00186D76"/>
    <w:rsid w:val="002004DC"/>
    <w:rsid w:val="00287397"/>
    <w:rsid w:val="002E5001"/>
    <w:rsid w:val="002E66DC"/>
    <w:rsid w:val="0036390D"/>
    <w:rsid w:val="004776C9"/>
    <w:rsid w:val="00591DBC"/>
    <w:rsid w:val="005B46BC"/>
    <w:rsid w:val="005E11A6"/>
    <w:rsid w:val="005F3777"/>
    <w:rsid w:val="005F6EBC"/>
    <w:rsid w:val="00791127"/>
    <w:rsid w:val="008C28CC"/>
    <w:rsid w:val="009D2D1A"/>
    <w:rsid w:val="00AB401E"/>
    <w:rsid w:val="00AF2F2D"/>
    <w:rsid w:val="00BA31F8"/>
    <w:rsid w:val="00C72559"/>
    <w:rsid w:val="00CF55D5"/>
    <w:rsid w:val="00D76DF7"/>
    <w:rsid w:val="00D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4A64B91-26EB-44E1-BAA5-F7411E4A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777"/>
  </w:style>
  <w:style w:type="paragraph" w:styleId="Nagwek7">
    <w:name w:val="heading 7"/>
    <w:basedOn w:val="Normalny"/>
    <w:next w:val="Normalny"/>
    <w:link w:val="Nagwek7Znak"/>
    <w:qFormat/>
    <w:rsid w:val="00CF55D5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CF55D5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D2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2D1A"/>
  </w:style>
  <w:style w:type="paragraph" w:styleId="Stopka">
    <w:name w:val="footer"/>
    <w:basedOn w:val="Normalny"/>
    <w:link w:val="StopkaZnak"/>
    <w:uiPriority w:val="99"/>
    <w:unhideWhenUsed/>
    <w:rsid w:val="009D2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D1A"/>
  </w:style>
  <w:style w:type="paragraph" w:styleId="Tekstdymka">
    <w:name w:val="Balloon Text"/>
    <w:basedOn w:val="Normalny"/>
    <w:link w:val="TekstdymkaZnak"/>
    <w:uiPriority w:val="99"/>
    <w:semiHidden/>
    <w:unhideWhenUsed/>
    <w:rsid w:val="00200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1035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20</cp:revision>
  <cp:lastPrinted>2015-04-02T15:42:00Z</cp:lastPrinted>
  <dcterms:created xsi:type="dcterms:W3CDTF">2013-04-18T07:27:00Z</dcterms:created>
  <dcterms:modified xsi:type="dcterms:W3CDTF">2015-04-04T15:33:00Z</dcterms:modified>
</cp:coreProperties>
</file>