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09C" w:rsidRPr="00E10B94" w:rsidRDefault="0065609C" w:rsidP="0065609C">
      <w:pPr>
        <w:jc w:val="center"/>
        <w:rPr>
          <w:rFonts w:ascii="Arial" w:hAnsi="Arial" w:cs="Arial"/>
          <w:b/>
          <w:sz w:val="24"/>
          <w:szCs w:val="24"/>
        </w:rPr>
      </w:pPr>
      <w:r w:rsidRPr="00E10B94">
        <w:rPr>
          <w:rFonts w:ascii="Arial" w:hAnsi="Arial" w:cs="Arial"/>
          <w:b/>
          <w:sz w:val="24"/>
          <w:szCs w:val="24"/>
        </w:rPr>
        <w:t>SZCZEGÓŁOWA SPECYFIKACJA TECHNICZNA WYKONANIA I ODBIORU ROBÓT BUDOWLANYCH</w:t>
      </w:r>
    </w:p>
    <w:p w:rsidR="0065609C" w:rsidRPr="00E10B94" w:rsidRDefault="0065609C" w:rsidP="0065609C">
      <w:pPr>
        <w:pStyle w:val="Nagwek7"/>
        <w:rPr>
          <w:rFonts w:ascii="Arial" w:hAnsi="Arial" w:cs="Arial"/>
        </w:rPr>
      </w:pPr>
      <w:bookmarkStart w:id="0" w:name="_Toc282411122"/>
      <w:bookmarkStart w:id="1" w:name="_Toc349899674"/>
      <w:r w:rsidRPr="00E10B94">
        <w:rPr>
          <w:rFonts w:ascii="Arial" w:hAnsi="Arial" w:cs="Arial"/>
        </w:rPr>
        <w:t>D – 05.03.05b   NAWIERZCHNIA  Z  BETONU ASFALTOWEGO. WARSTWA WIĄŻĄCA WG PN-EN</w:t>
      </w:r>
      <w:bookmarkEnd w:id="0"/>
      <w:bookmarkEnd w:id="1"/>
    </w:p>
    <w:p w:rsidR="0065609C" w:rsidRPr="00E10B94" w:rsidRDefault="0065609C" w:rsidP="0065609C">
      <w:pPr>
        <w:rPr>
          <w:rFonts w:ascii="Arial" w:hAnsi="Arial" w:cs="Arial"/>
          <w:b/>
        </w:rPr>
      </w:pPr>
      <w:bookmarkStart w:id="2" w:name="_GoBack"/>
      <w:bookmarkEnd w:id="2"/>
    </w:p>
    <w:p w:rsidR="0065609C" w:rsidRPr="00E10B94" w:rsidRDefault="0065609C" w:rsidP="00E10B94">
      <w:pPr>
        <w:jc w:val="both"/>
        <w:rPr>
          <w:rFonts w:ascii="Arial" w:hAnsi="Arial" w:cs="Arial"/>
          <w:b/>
        </w:rPr>
      </w:pPr>
      <w:bookmarkStart w:id="3" w:name="_Toc237920699"/>
      <w:r w:rsidRPr="00E10B94">
        <w:rPr>
          <w:rFonts w:ascii="Arial" w:hAnsi="Arial" w:cs="Arial"/>
          <w:b/>
        </w:rPr>
        <w:t>1. WSTĘP</w:t>
      </w:r>
      <w:bookmarkEnd w:id="3"/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1.1.</w:t>
      </w:r>
      <w:r w:rsidRPr="00E10B94">
        <w:rPr>
          <w:rFonts w:ascii="Arial" w:hAnsi="Arial" w:cs="Arial"/>
        </w:rPr>
        <w:t xml:space="preserve"> Przedmiot SSTWiORB</w:t>
      </w:r>
      <w:r w:rsid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Przedmiotem niniejszej szczegółowej specyfikacji technicznej wykonania i odbioru robót budowlanych (SSTWiORB) są wymagania dotyczące wykonania i odbioru robót związanych z wykonaniem warstwy wiążącej  z betonu asfaltowego.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1.2.</w:t>
      </w:r>
      <w:r w:rsidRPr="00E10B94">
        <w:rPr>
          <w:rFonts w:ascii="Arial" w:hAnsi="Arial" w:cs="Arial"/>
        </w:rPr>
        <w:t xml:space="preserve"> Zakres stosowania SSTWiORB</w:t>
      </w:r>
      <w:r w:rsidR="00E10B94">
        <w:rPr>
          <w:rFonts w:ascii="Arial" w:hAnsi="Arial" w:cs="Arial"/>
        </w:rPr>
        <w:t>.</w:t>
      </w:r>
    </w:p>
    <w:p w:rsidR="00633BE6" w:rsidRPr="00633BE6" w:rsidRDefault="0065609C" w:rsidP="00633BE6">
      <w:pPr>
        <w:rPr>
          <w:rFonts w:ascii="Arial" w:hAnsi="Arial" w:cs="Arial"/>
        </w:rPr>
      </w:pPr>
      <w:r w:rsidRPr="00E10B94">
        <w:rPr>
          <w:rFonts w:ascii="Arial" w:hAnsi="Arial" w:cs="Arial"/>
        </w:rPr>
        <w:t>Szczegółowa specyfikacja techniczna wykonania i odbioru robót budowlanych (SSTWiORB) stanowi dokument przetargowy i kontraktowy przy realizacji zadania</w:t>
      </w:r>
      <w:r w:rsidR="00E10B94" w:rsidRPr="004739A3">
        <w:rPr>
          <w:rFonts w:ascii="Arial" w:hAnsi="Arial" w:cs="Arial"/>
          <w:b/>
        </w:rPr>
        <w:t xml:space="preserve">: </w:t>
      </w:r>
      <w:r w:rsidR="00633BE6" w:rsidRPr="00633BE6">
        <w:rPr>
          <w:rFonts w:ascii="Arial" w:hAnsi="Arial" w:cs="Arial"/>
        </w:rPr>
        <w:t>Modernizacja drogi</w:t>
      </w:r>
      <w:r w:rsidR="00633BE6" w:rsidRPr="00633BE6">
        <w:rPr>
          <w:rFonts w:ascii="Arial" w:hAnsi="Arial" w:cs="Arial"/>
        </w:rPr>
        <w:t xml:space="preserve"> dojazdowej do gruntów rolnych w Olszanicy</w:t>
      </w:r>
      <w:r w:rsidR="00633BE6" w:rsidRPr="00633BE6">
        <w:rPr>
          <w:rFonts w:ascii="Arial" w:hAnsi="Arial" w:cs="Arial"/>
        </w:rPr>
        <w:t xml:space="preserve"> dz.nr.348 , 32/3 gm. Zagrodno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1.3.</w:t>
      </w:r>
      <w:r w:rsidRPr="00E10B94">
        <w:rPr>
          <w:rFonts w:ascii="Arial" w:hAnsi="Arial" w:cs="Arial"/>
        </w:rPr>
        <w:t xml:space="preserve"> Zakres robót objętych SSTWiORB</w:t>
      </w:r>
      <w:r w:rsid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Ustalenia zawarte w niniejszej specyfikacji dotyczą zasad prowadzenia robót związanych</w:t>
      </w:r>
      <w:r w:rsidR="00E10B94">
        <w:rPr>
          <w:rFonts w:ascii="Arial" w:hAnsi="Arial" w:cs="Arial"/>
        </w:rPr>
        <w:br/>
      </w:r>
      <w:r w:rsidRPr="00E10B94">
        <w:rPr>
          <w:rFonts w:ascii="Arial" w:hAnsi="Arial" w:cs="Arial"/>
        </w:rPr>
        <w:t>z wykonaniem i odbiorem warstwy wiążącej z betonu asfaltowego wg PN-EN 13108-1:2010, WT-2 Nawierzchnie asfaltowe 2008 z mieszanki mineralno-asfaltowej dostarczonej od producenta oraz WT-2 2010 Mieszanki mineralno – asfaltowe Wymagania techniczne</w:t>
      </w:r>
      <w:r w:rsidR="00E10B94">
        <w:rPr>
          <w:rFonts w:ascii="Arial" w:hAnsi="Arial" w:cs="Arial"/>
        </w:rPr>
        <w:t>.</w:t>
      </w:r>
      <w:r w:rsidR="00E10B94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przypadku produkcji mieszanki mineralno-asfaltowej przez Wykonawcę dla potrzeb budowy, Wykonawca zobowiązany jest prowadzić Zakładową kontrolę produkcji (ZKP) zgodnie z WT-2.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1.4.</w:t>
      </w:r>
      <w:r w:rsidRPr="00E10B94">
        <w:rPr>
          <w:rFonts w:ascii="Arial" w:hAnsi="Arial" w:cs="Arial"/>
        </w:rPr>
        <w:t xml:space="preserve"> Określenia podstawowe</w:t>
      </w:r>
      <w:r w:rsid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1.4.1. </w:t>
      </w:r>
      <w:r w:rsidRPr="00E10B94">
        <w:rPr>
          <w:rFonts w:ascii="Arial" w:hAnsi="Arial" w:cs="Arial"/>
        </w:rPr>
        <w:t>Nawierzchnia – konstrukcja składająca się z jednej lub kilku warstw służących</w:t>
      </w:r>
      <w:r w:rsidR="00E10B94">
        <w:rPr>
          <w:rFonts w:ascii="Arial" w:hAnsi="Arial" w:cs="Arial"/>
        </w:rPr>
        <w:br/>
      </w:r>
      <w:r w:rsidRPr="00E10B94">
        <w:rPr>
          <w:rFonts w:ascii="Arial" w:hAnsi="Arial" w:cs="Arial"/>
        </w:rPr>
        <w:t>do przejmowania i rozkładania obciążeń od ruchu pojazdów na podłoże.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1.4.2. </w:t>
      </w:r>
      <w:r w:rsidRPr="00E10B94">
        <w:rPr>
          <w:rFonts w:ascii="Arial" w:hAnsi="Arial" w:cs="Arial"/>
        </w:rPr>
        <w:t>Warstwa wiążąca – warstwa nawierzchni między warstwą ścieralną a podbudową.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1.4.3. </w:t>
      </w:r>
      <w:r w:rsidRPr="00E10B94">
        <w:rPr>
          <w:rFonts w:ascii="Arial" w:hAnsi="Arial" w:cs="Arial"/>
        </w:rPr>
        <w:t>Mieszanka mineralno-asfaltowa – mieszanka kruszyw i lepiszcza asfaltowego.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1.4.4. </w:t>
      </w:r>
      <w:r w:rsidRPr="00E10B94">
        <w:rPr>
          <w:rFonts w:ascii="Arial" w:hAnsi="Arial" w:cs="Arial"/>
        </w:rPr>
        <w:t>Wymiar mieszanki mineralno-asfaltowej – określenie mieszanki mineralno-asfaltowej, wyróżniające tę mieszankę ze zbioru mieszanek tego samego typu ze względu na największy wymiar kruszywa, np. wymiar 11 lub 6.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1.4.5. </w:t>
      </w:r>
      <w:r w:rsidRPr="00E10B94">
        <w:rPr>
          <w:rFonts w:ascii="Arial" w:hAnsi="Arial" w:cs="Arial"/>
        </w:rPr>
        <w:t>Beton asfaltowy – mieszanka mineralno-asfaltowa, w której kruszywo o uziarnieniu ciągłym lub nieciągłym tworzy strukturę wzajemnie klinującą się.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1.4.6. </w:t>
      </w:r>
      <w:r w:rsidRPr="00E10B94">
        <w:rPr>
          <w:rFonts w:ascii="Arial" w:hAnsi="Arial" w:cs="Arial"/>
        </w:rPr>
        <w:t>Uziarnienie – skład ziarnowy kruszywa, wyrażony w procentach masy ziaren przechodzących przez określony zestaw sit.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1.4.7. </w:t>
      </w:r>
      <w:r w:rsidRPr="00E10B94">
        <w:rPr>
          <w:rFonts w:ascii="Arial" w:hAnsi="Arial" w:cs="Arial"/>
        </w:rPr>
        <w:t>Wymiar kruszywa – wielkość ziaren kruszywa, określona przez dolny (d) i górny (D) wymiar sita.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lastRenderedPageBreak/>
        <w:t xml:space="preserve">1.4.8. </w:t>
      </w:r>
      <w:r w:rsidRPr="00E10B94">
        <w:rPr>
          <w:rFonts w:ascii="Arial" w:hAnsi="Arial" w:cs="Arial"/>
        </w:rPr>
        <w:t xml:space="preserve">Kruszywo grube – kruszywo z ziaren o wymiarze: D ≤ </w:t>
      </w:r>
      <w:smartTag w:uri="urn:schemas-microsoft-com:office:smarttags" w:element="metricconverter">
        <w:smartTagPr>
          <w:attr w:name="ProductID" w:val="45 mm"/>
        </w:smartTagPr>
        <w:r w:rsidRPr="00E10B94">
          <w:rPr>
            <w:rFonts w:ascii="Arial" w:hAnsi="Arial" w:cs="Arial"/>
          </w:rPr>
          <w:t>45 mm</w:t>
        </w:r>
      </w:smartTag>
      <w:r w:rsidRPr="00E10B94">
        <w:rPr>
          <w:rFonts w:ascii="Arial" w:hAnsi="Arial" w:cs="Arial"/>
        </w:rPr>
        <w:t xml:space="preserve"> oraz d &gt; </w:t>
      </w:r>
      <w:smartTag w:uri="urn:schemas-microsoft-com:office:smarttags" w:element="metricconverter">
        <w:smartTagPr>
          <w:attr w:name="ProductID" w:val="2 mm"/>
        </w:smartTagPr>
        <w:r w:rsidRPr="00E10B94">
          <w:rPr>
            <w:rFonts w:ascii="Arial" w:hAnsi="Arial" w:cs="Arial"/>
          </w:rPr>
          <w:t>2 mm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1.4.9. </w:t>
      </w:r>
      <w:r w:rsidRPr="00E10B94">
        <w:rPr>
          <w:rFonts w:ascii="Arial" w:hAnsi="Arial" w:cs="Arial"/>
        </w:rPr>
        <w:t xml:space="preserve">Kruszywo drobne – kruszywo z ziaren o wymiarze: D ≤ </w:t>
      </w:r>
      <w:smartTag w:uri="urn:schemas-microsoft-com:office:smarttags" w:element="metricconverter">
        <w:smartTagPr>
          <w:attr w:name="ProductID" w:val="2 mm"/>
        </w:smartTagPr>
        <w:r w:rsidRPr="00E10B94">
          <w:rPr>
            <w:rFonts w:ascii="Arial" w:hAnsi="Arial" w:cs="Arial"/>
          </w:rPr>
          <w:t>2 mm</w:t>
        </w:r>
      </w:smartTag>
      <w:r w:rsidRPr="00E10B94">
        <w:rPr>
          <w:rFonts w:ascii="Arial" w:hAnsi="Arial" w:cs="Arial"/>
        </w:rPr>
        <w:t xml:space="preserve">, którego większa część pozostaje na sicie </w:t>
      </w:r>
      <w:smartTag w:uri="urn:schemas-microsoft-com:office:smarttags" w:element="metricconverter">
        <w:smartTagPr>
          <w:attr w:name="ProductID" w:val="0,063 mm"/>
        </w:smartTagPr>
        <w:r w:rsidRPr="00E10B94">
          <w:rPr>
            <w:rFonts w:ascii="Arial" w:hAnsi="Arial" w:cs="Arial"/>
          </w:rPr>
          <w:t>0,063 mm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1.4.10. </w:t>
      </w:r>
      <w:r w:rsidRPr="00E10B94">
        <w:rPr>
          <w:rFonts w:ascii="Arial" w:hAnsi="Arial" w:cs="Arial"/>
        </w:rPr>
        <w:t xml:space="preserve">Pył – kruszywo z ziaren przechodzących przez sito </w:t>
      </w:r>
      <w:smartTag w:uri="urn:schemas-microsoft-com:office:smarttags" w:element="metricconverter">
        <w:smartTagPr>
          <w:attr w:name="ProductID" w:val="0,063 mm"/>
        </w:smartTagPr>
        <w:r w:rsidRPr="00E10B94">
          <w:rPr>
            <w:rFonts w:ascii="Arial" w:hAnsi="Arial" w:cs="Arial"/>
          </w:rPr>
          <w:t>0,063 mm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1.4.11. </w:t>
      </w:r>
      <w:r w:rsidRPr="00E10B94">
        <w:rPr>
          <w:rFonts w:ascii="Arial" w:hAnsi="Arial" w:cs="Arial"/>
        </w:rPr>
        <w:t xml:space="preserve">Wypełniacz – kruszywo, którego większa część przechodzi przez sito </w:t>
      </w:r>
      <w:smartTag w:uri="urn:schemas-microsoft-com:office:smarttags" w:element="metricconverter">
        <w:smartTagPr>
          <w:attr w:name="ProductID" w:val="0,063 mm"/>
        </w:smartTagPr>
        <w:r w:rsidRPr="00E10B94">
          <w:rPr>
            <w:rFonts w:ascii="Arial" w:hAnsi="Arial" w:cs="Arial"/>
          </w:rPr>
          <w:t>0,063 mm</w:t>
        </w:r>
      </w:smartTag>
      <w:r w:rsidRPr="00E10B94">
        <w:rPr>
          <w:rFonts w:ascii="Arial" w:hAnsi="Arial" w:cs="Arial"/>
        </w:rPr>
        <w:t>. (Wypełniacz mieszany – kruszywo, które składa się z wypełniacza pochodzenia mineralnego i wodorotlenku wapnia. Wypełniacz dodany – wypełniacz pochodzenia mineralnego, wyprodukowany oddzielnie).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1.4.12. </w:t>
      </w:r>
      <w:r w:rsidRPr="00E10B94">
        <w:rPr>
          <w:rFonts w:ascii="Arial" w:hAnsi="Arial" w:cs="Arial"/>
        </w:rPr>
        <w:t>Kationowa emulsja asfaltowa – emulsja, w której emulgator nadaje dodatnie ładunki cząstkom zdyspergowanego asfaltu.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1.4.13. </w:t>
      </w:r>
      <w:r w:rsidRPr="00E10B94">
        <w:rPr>
          <w:rFonts w:ascii="Arial" w:hAnsi="Arial" w:cs="Arial"/>
        </w:rPr>
        <w:t>Pozostałe określenia podstawowe są zgodne z obowiązującymi, odpowiednimi polskimi normami i z definicjami podanymi w SSTWiORB D-M-00.00.00 „Wymagania ogólne” pkt 1.4.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2E4614">
        <w:rPr>
          <w:rFonts w:ascii="Arial" w:hAnsi="Arial" w:cs="Arial"/>
          <w:b/>
        </w:rPr>
        <w:t>1.5.</w:t>
      </w:r>
      <w:r w:rsidRPr="00E10B94">
        <w:rPr>
          <w:rFonts w:ascii="Arial" w:hAnsi="Arial" w:cs="Arial"/>
        </w:rPr>
        <w:t xml:space="preserve"> Ogólne wymagania dotyczące robót</w:t>
      </w:r>
      <w:r w:rsidR="002E461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robót podano w SSTWiORB D-M-00.00.00 „Wymagania ogólne” pkt 1.5.</w:t>
      </w:r>
      <w:bookmarkStart w:id="4" w:name="_Toc237920700"/>
    </w:p>
    <w:p w:rsidR="0065609C" w:rsidRPr="002E4614" w:rsidRDefault="0065609C" w:rsidP="00E10B94">
      <w:pPr>
        <w:jc w:val="both"/>
        <w:rPr>
          <w:rFonts w:ascii="Arial" w:hAnsi="Arial" w:cs="Arial"/>
          <w:b/>
        </w:rPr>
      </w:pPr>
      <w:r w:rsidRPr="002E4614">
        <w:rPr>
          <w:rFonts w:ascii="Arial" w:hAnsi="Arial" w:cs="Arial"/>
          <w:b/>
        </w:rPr>
        <w:t>2. MATERIAŁY</w:t>
      </w:r>
      <w:bookmarkEnd w:id="4"/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2E4614">
        <w:rPr>
          <w:rFonts w:ascii="Arial" w:hAnsi="Arial" w:cs="Arial"/>
          <w:b/>
        </w:rPr>
        <w:t>2.1.</w:t>
      </w:r>
      <w:r w:rsidRPr="00E10B94">
        <w:rPr>
          <w:rFonts w:ascii="Arial" w:hAnsi="Arial" w:cs="Arial"/>
        </w:rPr>
        <w:t xml:space="preserve"> Ogólne wymagania dotyczące materiałów</w:t>
      </w:r>
      <w:r w:rsidR="002E461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materiałów, ich pozyskiwania i składowania, podano</w:t>
      </w:r>
      <w:r w:rsidR="002E4614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w SSTWiORB D-M-00.00.00 „Wymagania ogólne” pkt 2. Warstwę wiążącą zaprojektowano dla </w:t>
      </w:r>
      <w:r w:rsidRPr="0025471F">
        <w:rPr>
          <w:rFonts w:ascii="Arial" w:hAnsi="Arial" w:cs="Arial"/>
        </w:rPr>
        <w:t>kategorii ruchu KR</w:t>
      </w:r>
      <w:r w:rsidR="0025471F" w:rsidRPr="0025471F">
        <w:rPr>
          <w:rFonts w:ascii="Arial" w:hAnsi="Arial" w:cs="Arial"/>
        </w:rPr>
        <w:t>2</w:t>
      </w:r>
      <w:r w:rsidR="0025471F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BA28B2">
        <w:rPr>
          <w:rFonts w:ascii="Arial" w:hAnsi="Arial" w:cs="Arial"/>
          <w:b/>
        </w:rPr>
        <w:t>2.2.</w:t>
      </w:r>
      <w:r w:rsidRPr="00E10B94">
        <w:rPr>
          <w:rFonts w:ascii="Arial" w:hAnsi="Arial" w:cs="Arial"/>
        </w:rPr>
        <w:t xml:space="preserve"> Lepiszcza asfaltowe</w:t>
      </w:r>
      <w:r w:rsidR="00BA28B2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Należy stosować asfalty drogowe 35/50 wg PN-EN 12591:2010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Asfalty drogowe powinny spełniać wymagania podane w tablicy 1.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Tablica 1. Wymagania wobec asfaltów drogowych wg PN-EN 12591:2010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110"/>
        <w:gridCol w:w="851"/>
        <w:gridCol w:w="2070"/>
        <w:gridCol w:w="1559"/>
      </w:tblGrid>
      <w:tr w:rsidR="0065609C" w:rsidRPr="00E10B94" w:rsidTr="00BA28B2">
        <w:trPr>
          <w:trHeight w:val="490"/>
        </w:trPr>
        <w:tc>
          <w:tcPr>
            <w:tcW w:w="534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Lp.</w:t>
            </w:r>
          </w:p>
        </w:tc>
        <w:tc>
          <w:tcPr>
            <w:tcW w:w="4961" w:type="dxa"/>
            <w:gridSpan w:val="2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</w:t>
            </w:r>
          </w:p>
        </w:tc>
        <w:tc>
          <w:tcPr>
            <w:tcW w:w="2070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Metoda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Wymagania</w:t>
            </w:r>
          </w:p>
        </w:tc>
      </w:tr>
      <w:tr w:rsidR="0065609C" w:rsidRPr="00E10B94" w:rsidTr="00BA28B2">
        <w:tc>
          <w:tcPr>
            <w:tcW w:w="9124" w:type="dxa"/>
            <w:gridSpan w:val="5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   OBLIGATORYJNE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Penetracja w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E10B94">
                <w:rPr>
                  <w:rFonts w:ascii="Arial" w:hAnsi="Arial" w:cs="Arial"/>
                </w:rPr>
                <w:t>25°C</w:t>
              </w:r>
            </w:smartTag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smartTag w:uri="urn:schemas-microsoft-com:office:smarttags" w:element="metricconverter">
              <w:smartTagPr>
                <w:attr w:name="ProductID" w:val="0,1 mm"/>
              </w:smartTagPr>
              <w:r w:rsidRPr="00E10B94">
                <w:rPr>
                  <w:rFonts w:ascii="Arial" w:hAnsi="Arial" w:cs="Arial"/>
                </w:rPr>
                <w:t>0,1 mm</w:t>
              </w:r>
            </w:smartTag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1426:2009 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35÷50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mięknienia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1427:2009 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50÷58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zapłonu,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240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składników rozpuszczalnych,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 m/m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99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Zmiana masy po starzeniu (ubytek lub przyrost), 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 m/m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12607-1:2009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0,5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Pozostała penetracja po starzeniu,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1426:2009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53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mięknienia po starzeniu, nie mniej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1427:2009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52</w:t>
            </w:r>
          </w:p>
        </w:tc>
      </w:tr>
      <w:tr w:rsidR="0065609C" w:rsidRPr="00E10B94" w:rsidTr="00BA28B2">
        <w:tc>
          <w:tcPr>
            <w:tcW w:w="9124" w:type="dxa"/>
            <w:gridSpan w:val="5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   SPECJALNE   KRAJOWE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parafiny, 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%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12606-1:2009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2,2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Wzrost temp. mięknienia po starzeniu, 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1427:2009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łamliwości Fraassa, nie więcej niż</w:t>
            </w:r>
          </w:p>
        </w:tc>
        <w:tc>
          <w:tcPr>
            <w:tcW w:w="85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°C</w:t>
            </w:r>
          </w:p>
        </w:tc>
        <w:tc>
          <w:tcPr>
            <w:tcW w:w="20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12593:2009</w:t>
            </w:r>
          </w:p>
        </w:tc>
        <w:tc>
          <w:tcPr>
            <w:tcW w:w="155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-5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Składowanie asfaltu drogowego powinno się odbywać w zbiornikach, wykluczających zanieczyszczenie asfaltu i wyposażonych w system grzewczy pośredni (bez kontaktu asfaltu z przewodami grzewczymi). Zbiornik roboczy otaczarki powinien być izolowany termicznie, posiadać automatyczny system grzewczy z tolerancją ± </w:t>
      </w:r>
      <w:smartTag w:uri="urn:schemas-microsoft-com:office:smarttags" w:element="metricconverter">
        <w:smartTagPr>
          <w:attr w:name="ProductID" w:val="5ﾰC"/>
        </w:smartTagPr>
        <w:r w:rsidRPr="00E10B94">
          <w:rPr>
            <w:rFonts w:ascii="Arial" w:hAnsi="Arial" w:cs="Arial"/>
          </w:rPr>
          <w:t>5°C</w:t>
        </w:r>
      </w:smartTag>
      <w:r w:rsidRPr="00E10B94">
        <w:rPr>
          <w:rFonts w:ascii="Arial" w:hAnsi="Arial" w:cs="Arial"/>
        </w:rPr>
        <w:t xml:space="preserve"> oraz układ cyrkulacji asfaltu.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BA28B2">
        <w:rPr>
          <w:rFonts w:ascii="Arial" w:hAnsi="Arial" w:cs="Arial"/>
          <w:b/>
        </w:rPr>
        <w:t>2.3.</w:t>
      </w:r>
      <w:r w:rsidR="00BA28B2">
        <w:rPr>
          <w:rFonts w:ascii="Arial" w:hAnsi="Arial" w:cs="Arial"/>
        </w:rPr>
        <w:t xml:space="preserve"> Kruszywo.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warstwy wiążącej i wyrównawczej z betonu asfaltowego należy stosować kruszywo według PN-EN 13043:2004 i WT-1 Kruszywa 2010, obejmujące kruszywo grube , kruszywo drobne  i wypełniacz. Kruszywa powinny spełniać wymagania podane w WT-1 Kruszywa 2010 rozdział 6 punkt 6.2, tablica 8, tablica 9 , tablica 10, tablica 11.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Składowanie kruszywa powinno się odbywać w warunkach zabezpieczających je przed zanieczyszczeniem i zmieszaniem z kruszywem o innym wymiarze lub pochodzeniu. Podłoże składowiska musi być równe, utwardzone i odwodnione. Składowanie wypełniacza powinno się odbywać w silosach wyposażonych w urządzenia do aeracji.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2.4.</w:t>
      </w:r>
      <w:r w:rsidRPr="00E10B94">
        <w:rPr>
          <w:rFonts w:ascii="Arial" w:hAnsi="Arial" w:cs="Arial"/>
        </w:rPr>
        <w:t xml:space="preserve"> Środek adhezyjny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W celu poprawy powinowactwa fizykochemicznego lepiszcza asfaltowego i kruszywa, gwarantującego odpowiednią przyczepność (adhezję) lepiszcza do kruszywa i odporność mieszanki mineralno-asfaltowej na działanie wody, należy dobrać i zastosować środek </w:t>
      </w:r>
      <w:r w:rsidRPr="00E10B94">
        <w:rPr>
          <w:rFonts w:ascii="Arial" w:hAnsi="Arial" w:cs="Arial"/>
        </w:rPr>
        <w:lastRenderedPageBreak/>
        <w:t>adhezyjny, tak aby dla konkretnej pary kruszywo-lepiszcze wartość przyczepności określona według PN-EN 12697-11:2009, metoda C wynosiła co najmniej 80%.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Składowanie środka adhezyjnego jest dozwolone tylko w oryginalnych opakowaniach producenta.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2.5.</w:t>
      </w:r>
      <w:r w:rsidRPr="00E10B94">
        <w:rPr>
          <w:rFonts w:ascii="Arial" w:hAnsi="Arial" w:cs="Arial"/>
        </w:rPr>
        <w:t xml:space="preserve"> Materiały do uszczelnienia połączeń i krawędzi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uszczelnienia połączeń technologicznych (tj. złączy podłużnych i poprzecznych z tego samego materiału wykonywanego w różnym czasie oraz spoin stanowiących połączenia różnych materiałów lub połączenie warstwy asfaltowej z urządzeniami obcymi w nawierzchni lub ją ograniczającymi, należy stosować: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materiały termoplastyczne, jak taśmy asfaltowe, pasty itp. według norm lub aprobat technicznych,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emulsję asfaltową według PN-EN 13808:2010 lub inne lepiszcza według norm lub aprobat technicznych 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Grubość materiału termoplastycznego do spoiny powinna wynosić: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nie mniej niż </w:t>
      </w:r>
      <w:smartTag w:uri="urn:schemas-microsoft-com:office:smarttags" w:element="metricconverter">
        <w:smartTagPr>
          <w:attr w:name="ProductID" w:val="10 mm"/>
        </w:smartTagPr>
        <w:r w:rsidRPr="00E10B94">
          <w:rPr>
            <w:rFonts w:ascii="Arial" w:hAnsi="Arial" w:cs="Arial"/>
          </w:rPr>
          <w:t>10 mm</w:t>
        </w:r>
      </w:smartTag>
      <w:r w:rsidRPr="00E10B94">
        <w:rPr>
          <w:rFonts w:ascii="Arial" w:hAnsi="Arial" w:cs="Arial"/>
        </w:rPr>
        <w:t xml:space="preserve"> przy grubości warstwy technologicznej do </w:t>
      </w:r>
      <w:smartTag w:uri="urn:schemas-microsoft-com:office:smarttags" w:element="metricconverter">
        <w:smartTagPr>
          <w:attr w:name="ProductID" w:val="2,5 cm"/>
        </w:smartTagPr>
        <w:r w:rsidRPr="00E10B94">
          <w:rPr>
            <w:rFonts w:ascii="Arial" w:hAnsi="Arial" w:cs="Arial"/>
          </w:rPr>
          <w:t>2,5 cm</w:t>
        </w:r>
      </w:smartTag>
      <w:r w:rsidRPr="00E10B94">
        <w:rPr>
          <w:rFonts w:ascii="Arial" w:hAnsi="Arial" w:cs="Arial"/>
        </w:rPr>
        <w:t>,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nie mniej niż </w:t>
      </w:r>
      <w:smartTag w:uri="urn:schemas-microsoft-com:office:smarttags" w:element="metricconverter">
        <w:smartTagPr>
          <w:attr w:name="ProductID" w:val="15 mm"/>
        </w:smartTagPr>
        <w:r w:rsidRPr="00E10B94">
          <w:rPr>
            <w:rFonts w:ascii="Arial" w:hAnsi="Arial" w:cs="Arial"/>
          </w:rPr>
          <w:t>15 mm</w:t>
        </w:r>
      </w:smartTag>
      <w:r w:rsidRPr="00E10B94">
        <w:rPr>
          <w:rFonts w:ascii="Arial" w:hAnsi="Arial" w:cs="Arial"/>
        </w:rPr>
        <w:t xml:space="preserve"> przy grubości warstwy technologicznej większej niż </w:t>
      </w:r>
      <w:smartTag w:uri="urn:schemas-microsoft-com:office:smarttags" w:element="metricconverter">
        <w:smartTagPr>
          <w:attr w:name="ProductID" w:val="2,5 cm"/>
        </w:smartTagPr>
        <w:r w:rsidRPr="00E10B94">
          <w:rPr>
            <w:rFonts w:ascii="Arial" w:hAnsi="Arial" w:cs="Arial"/>
          </w:rPr>
          <w:t>2,5 cm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Składowanie materiałów termoplastycznych jest dozwolone tylko w oryginalnych opakowaniach producenta, w warunkach określonych w aprobacie technicznej.</w:t>
      </w:r>
    </w:p>
    <w:p w:rsidR="0065609C" w:rsidRPr="00F5519E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uszczelnienia krawędzi należy stosować asfalt drogowy wg PN-EN 12591:2010, asfalt modyfikowany polimerami wg PN-EN 14023:2010 „metodą na gorąco”. Dopuszcza się inne rodzaje lepiszcza wg norm lub aprobat technicznych.</w:t>
      </w:r>
    </w:p>
    <w:p w:rsidR="0065609C" w:rsidRPr="00F5519E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2.6. </w:t>
      </w:r>
      <w:r w:rsidRPr="00F5519E">
        <w:rPr>
          <w:rFonts w:ascii="Arial" w:hAnsi="Arial" w:cs="Arial"/>
        </w:rPr>
        <w:t>Materiały do złączenia warstw konstrukcji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złączania warstw konstrukcji nawierzchni (warstwa wiążąca z warstwą ścieralną) należy stosować  kationowe emulsje asfaltowe lub kationowe emulsje modyfikowane polimerami według PN-EN 13808:2010 i WT-3 Emulsje asfaltowe 2009 punkt 5.1 tablica 2 i tablica 3.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Emulsję asfaltową można składować w opakowaniach transportowych lub w stacjonarnych zbiornikach pionowych z nalewaniem od dna. Nie należy nalewać emulsji do opakowań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i zbiorników zanieczyszczonych materiałami mineralnymi. </w:t>
      </w:r>
      <w:bookmarkStart w:id="5" w:name="_Toc237920701"/>
    </w:p>
    <w:p w:rsidR="0065609C" w:rsidRPr="00F5519E" w:rsidRDefault="0065609C" w:rsidP="00E10B94">
      <w:pPr>
        <w:jc w:val="both"/>
        <w:rPr>
          <w:rFonts w:ascii="Arial" w:hAnsi="Arial" w:cs="Arial"/>
          <w:b/>
        </w:rPr>
      </w:pPr>
      <w:r w:rsidRPr="00F5519E">
        <w:rPr>
          <w:rFonts w:ascii="Arial" w:hAnsi="Arial" w:cs="Arial"/>
          <w:b/>
        </w:rPr>
        <w:t xml:space="preserve">3. </w:t>
      </w:r>
      <w:bookmarkEnd w:id="5"/>
      <w:r w:rsidRPr="00F5519E">
        <w:rPr>
          <w:rFonts w:ascii="Arial" w:hAnsi="Arial" w:cs="Arial"/>
          <w:b/>
        </w:rPr>
        <w:t>SPRZĘT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3.1.</w:t>
      </w:r>
      <w:r w:rsidRPr="00E10B94">
        <w:rPr>
          <w:rFonts w:ascii="Arial" w:hAnsi="Arial" w:cs="Arial"/>
        </w:rPr>
        <w:t xml:space="preserve"> Ogólne wymagania dotyczące sprzętu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sprzętu podano w SSTWiORB  D-M-00.00.00 „Wymagania ogólne” pkt 3.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3.2.</w:t>
      </w:r>
      <w:r w:rsidRPr="00E10B94">
        <w:rPr>
          <w:rFonts w:ascii="Arial" w:hAnsi="Arial" w:cs="Arial"/>
        </w:rPr>
        <w:t xml:space="preserve"> Sprzęt stosowany do wykonania robót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Przy wykonywaniu robót Wykonawca w zależności od potrzeb, powinien wykazać się możliwością korzystania ze sprzętu dostosowanego do przyjętej metody robót, jak: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="0065609C" w:rsidRPr="00E10B94">
        <w:rPr>
          <w:rFonts w:ascii="Arial" w:hAnsi="Arial" w:cs="Arial"/>
        </w:rPr>
        <w:t xml:space="preserve">wytwórnia (otaczarka) o mieszaniu cyklicznym lub ciągłym, z automatycznym komputerowym sterowaniem produkcji, do wytwarzania mieszanek mineralno-asfaltowych, 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układarka gąsienicowa, z elektronicznym sterowaniem równości układanej warstwy,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skrapiarka,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 xml:space="preserve">walce stalowe gładkie, 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walce ogumione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szczotki mechaniczne i/lub inne urządzenia czyszczące,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samochody samowyładowcze z przykryciem brezentowym lub termosami,</w:t>
      </w:r>
    </w:p>
    <w:p w:rsidR="0065609C" w:rsidRPr="00E10B94" w:rsidRDefault="00F5519E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sprzęt drobny.</w:t>
      </w:r>
      <w:bookmarkStart w:id="6" w:name="_Toc237920702"/>
    </w:p>
    <w:p w:rsidR="0065609C" w:rsidRPr="00F5519E" w:rsidRDefault="0065609C" w:rsidP="00E10B94">
      <w:pPr>
        <w:jc w:val="both"/>
        <w:rPr>
          <w:rFonts w:ascii="Arial" w:hAnsi="Arial" w:cs="Arial"/>
          <w:b/>
        </w:rPr>
      </w:pPr>
      <w:r w:rsidRPr="00F5519E">
        <w:rPr>
          <w:rFonts w:ascii="Arial" w:hAnsi="Arial" w:cs="Arial"/>
          <w:b/>
        </w:rPr>
        <w:t>4. TRANSPORT</w:t>
      </w:r>
      <w:bookmarkEnd w:id="6"/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4.1.</w:t>
      </w:r>
      <w:r w:rsidRPr="00E10B94">
        <w:rPr>
          <w:rFonts w:ascii="Arial" w:hAnsi="Arial" w:cs="Arial"/>
        </w:rPr>
        <w:t xml:space="preserve"> Ogólne wymagania dotyczące transportu</w:t>
      </w:r>
      <w:r w:rsidR="00F5519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wymagania dotyczące transportu podano w SSTWiORB D-M-00.00.00 „Wymagania ogólne” pkt 4.</w:t>
      </w:r>
      <w:r w:rsidRPr="00E10B94">
        <w:rPr>
          <w:rFonts w:ascii="Arial" w:hAnsi="Arial" w:cs="Arial"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5519E">
        <w:rPr>
          <w:rFonts w:ascii="Arial" w:hAnsi="Arial" w:cs="Arial"/>
          <w:b/>
        </w:rPr>
        <w:t>4.2.</w:t>
      </w:r>
      <w:r w:rsidR="00F5519E">
        <w:rPr>
          <w:rFonts w:ascii="Arial" w:hAnsi="Arial" w:cs="Arial"/>
        </w:rPr>
        <w:t xml:space="preserve"> Transport materiałów.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Asfalt należy przewozić w cysternach kolejowych lub samochodach izolowanych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zaopatrzonych w urządzenia umożliwiające pośrednie ogrzewanie oraz w zawory spustowe.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Kruszywa można przewozić dowolnymi środkami transportu, w warunkach zabezpieczających je przed zanieczyszczeniem, zmieszaniem z innymi materiałami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nadmiernym zawilgoceniem.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Wypełniacz należy przewozić w sposób chroniący go przed zawilgoceniem, zbryleniem</w:t>
      </w:r>
      <w:r w:rsidR="00F5519E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zanieczyszczeniem. Wypełniacz luzem powinien być przewożony w odpowiednich cysternach przystosowanych do przewozu materiałów sypkich, umożliwiających rozładunek pneumatyczny.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Emulsja asfaltowa może być transportowana w zamkniętych cysternach, autocysternach, beczkach i innych opakowaniach pod warunkiem, że nie będą korodowały pod wpływem emulsji i nie będą powodowały jej rozpadu. Cysterny powinny być wyposażone w przegrody. Nie należy używać do transportu opakowań z metali lekkich (może zachodzić wydzielanie wodoru i groźba wybuchu przy emulsjach o pH ≤ 4).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należy  dowozić na budowę pojazdami samowyładowczymi w zależności od postępu robót. Podczas transportu i postoju przed wbudowaniem mieszanka powinna być zabezpieczona przed ostygnięciem i dopływem powietrza (przez przykrycie, pojemniki termoizolacyjne lub ogrzewane itp.). Warunki i czas transportu mieszanki,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od produkcji do wbudowania, powinna zapewniać utrzymanie temperatury w wymaganym przedziale. Powierzchnie pojemników używanych do transportu mieszanki powinny być czyste, a do zwilżania tych powierzchni można używać tylko środki antyadhezyjne niewpływające szkodliwie na mieszankę.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bookmarkStart w:id="7" w:name="_Toc237920703"/>
    </w:p>
    <w:p w:rsidR="0065609C" w:rsidRPr="00053844" w:rsidRDefault="0065609C" w:rsidP="00E10B94">
      <w:pPr>
        <w:jc w:val="both"/>
        <w:rPr>
          <w:rFonts w:ascii="Arial" w:hAnsi="Arial" w:cs="Arial"/>
          <w:b/>
        </w:rPr>
      </w:pPr>
      <w:r w:rsidRPr="00053844">
        <w:rPr>
          <w:rFonts w:ascii="Arial" w:hAnsi="Arial" w:cs="Arial"/>
          <w:b/>
        </w:rPr>
        <w:t xml:space="preserve">5. </w:t>
      </w:r>
      <w:bookmarkEnd w:id="7"/>
      <w:r w:rsidRPr="00053844">
        <w:rPr>
          <w:rFonts w:ascii="Arial" w:hAnsi="Arial" w:cs="Arial"/>
          <w:b/>
        </w:rPr>
        <w:t>WYKONANIE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5.1.</w:t>
      </w:r>
      <w:r w:rsidRPr="00E10B94">
        <w:rPr>
          <w:rFonts w:ascii="Arial" w:hAnsi="Arial" w:cs="Arial"/>
        </w:rPr>
        <w:t xml:space="preserve"> Ogólne zasady wykonania robót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wykonania robót podano w SSTWiORB D-M-00.00.00 „Wymagania ogólne” pkt 5.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5.2.</w:t>
      </w:r>
      <w:r w:rsidRPr="00E10B94">
        <w:rPr>
          <w:rFonts w:ascii="Arial" w:hAnsi="Arial" w:cs="Arial"/>
        </w:rPr>
        <w:t xml:space="preserve"> Projektowanie mieszanki mineralno-asfaltowej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Przed przystąpieniem do robót Wykonawca dostarczy Inżynierowi/Kierownikowi projektu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do akceptacji projekt składu mieszanki mineralno-asfaltowej (AC 16W). Warstwę wiążącą projektuje się dla kategorii ruchu KR</w:t>
      </w:r>
      <w:r w:rsidR="00053844">
        <w:rPr>
          <w:rFonts w:ascii="Arial" w:hAnsi="Arial" w:cs="Arial"/>
        </w:rPr>
        <w:t>2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Uziarnienie mieszanki mineralnej oraz minimalna zawartość lepiszcza podane są w tablicy 2</w:t>
      </w:r>
      <w:r w:rsidR="00053844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Wymagane właściwości mieszanki mineralno-asfaltowej podane są w tablicy 3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ab/>
      </w:r>
      <w:r w:rsidRPr="00053844">
        <w:rPr>
          <w:rFonts w:ascii="Arial" w:hAnsi="Arial" w:cs="Arial"/>
          <w:b/>
        </w:rPr>
        <w:t>Tablica 2.</w:t>
      </w:r>
      <w:r w:rsidR="00053844">
        <w:rPr>
          <w:rFonts w:ascii="Arial" w:hAnsi="Arial" w:cs="Arial"/>
        </w:rPr>
        <w:t xml:space="preserve"> </w:t>
      </w:r>
      <w:r w:rsidRPr="00E10B94">
        <w:rPr>
          <w:rFonts w:ascii="Arial" w:hAnsi="Arial" w:cs="Arial"/>
        </w:rPr>
        <w:t xml:space="preserve">Uziarnienie mieszanki mineralnej oraz zawartość lepiszcza do betonu asfaltowego do warstwy wiążącej  </w:t>
      </w:r>
    </w:p>
    <w:tbl>
      <w:tblPr>
        <w:tblW w:w="6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1418"/>
        <w:gridCol w:w="1984"/>
      </w:tblGrid>
      <w:tr w:rsidR="0065609C" w:rsidRPr="00E10B94" w:rsidTr="00BA28B2">
        <w:trPr>
          <w:trHeight w:val="715"/>
        </w:trPr>
        <w:tc>
          <w:tcPr>
            <w:tcW w:w="3510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Właściwość</w:t>
            </w:r>
          </w:p>
        </w:tc>
        <w:tc>
          <w:tcPr>
            <w:tcW w:w="3402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Przesiew,   [% (m/m)]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AC16W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Wymiar sita #, [mm]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Od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do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31,5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22,4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-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16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11,2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70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90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55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85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25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0,125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12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0,063</w:t>
            </w:r>
          </w:p>
        </w:tc>
        <w:tc>
          <w:tcPr>
            <w:tcW w:w="14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4,0</w:t>
            </w:r>
          </w:p>
        </w:tc>
        <w:tc>
          <w:tcPr>
            <w:tcW w:w="1984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10</w:t>
            </w:r>
          </w:p>
        </w:tc>
      </w:tr>
      <w:tr w:rsidR="0065609C" w:rsidRPr="00E10B94" w:rsidTr="00BA28B2">
        <w:tc>
          <w:tcPr>
            <w:tcW w:w="351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>Zawartość lepiszcza, minimum</w:t>
            </w:r>
            <w:r w:rsidRPr="00E10B94">
              <w:rPr>
                <w:rFonts w:ascii="Arial" w:hAnsi="Arial" w:cs="Arial"/>
                <w:vertAlign w:val="superscript"/>
              </w:rPr>
              <w:t>*)</w:t>
            </w:r>
          </w:p>
        </w:tc>
        <w:tc>
          <w:tcPr>
            <w:tcW w:w="3402" w:type="dxa"/>
            <w:gridSpan w:val="2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</w:t>
            </w:r>
            <w:r w:rsidRPr="00E10B94">
              <w:rPr>
                <w:rFonts w:ascii="Arial" w:hAnsi="Arial" w:cs="Arial"/>
                <w:vertAlign w:val="subscript"/>
              </w:rPr>
              <w:t>min4,4</w:t>
            </w:r>
          </w:p>
        </w:tc>
      </w:tr>
      <w:tr w:rsidR="0065609C" w:rsidRPr="00E10B94" w:rsidTr="00BA28B2">
        <w:tc>
          <w:tcPr>
            <w:tcW w:w="6912" w:type="dxa"/>
            <w:gridSpan w:val="3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*)</w:t>
            </w:r>
            <w:r w:rsidRPr="00E10B94">
              <w:rPr>
                <w:rFonts w:ascii="Arial" w:hAnsi="Arial" w:cs="Arial"/>
              </w:rPr>
              <w:t xml:space="preserve"> Minimalna zawartość lepiszcza jest określona przy założonej gęstości mieszanki mineralnej 2,650 Mg/m</w:t>
            </w:r>
            <w:r w:rsidRPr="00E10B94">
              <w:rPr>
                <w:rFonts w:ascii="Arial" w:hAnsi="Arial" w:cs="Arial"/>
                <w:vertAlign w:val="superscript"/>
              </w:rPr>
              <w:t>3</w:t>
            </w:r>
            <w:r w:rsidRPr="00E10B94">
              <w:rPr>
                <w:rFonts w:ascii="Arial" w:hAnsi="Arial" w:cs="Arial"/>
              </w:rPr>
              <w:t>. Jeżeli stosowana mieszanka mineralna ma inną gęstość (</w:t>
            </w:r>
            <w:r w:rsidRPr="00E10B94">
              <w:rPr>
                <w:rFonts w:ascii="Arial" w:hAnsi="Arial" w:cs="Arial"/>
                <w:i/>
              </w:rPr>
              <w:t>ρ</w:t>
            </w:r>
            <w:r w:rsidRPr="00E10B94">
              <w:rPr>
                <w:rFonts w:ascii="Arial" w:hAnsi="Arial" w:cs="Arial"/>
                <w:vertAlign w:val="subscript"/>
              </w:rPr>
              <w:t>d</w:t>
            </w:r>
            <w:r w:rsidRPr="00E10B94">
              <w:rPr>
                <w:rFonts w:ascii="Arial" w:hAnsi="Arial" w:cs="Arial"/>
              </w:rPr>
              <w:t xml:space="preserve">), to do wyznaczenia minimalnej zawartości lepiszcza podaną wartość należy pomnożyć przez współczynnik </w:t>
            </w:r>
            <w:r w:rsidRPr="00E10B94">
              <w:rPr>
                <w:rFonts w:ascii="Arial" w:hAnsi="Arial" w:cs="Arial"/>
                <w:position w:val="-6"/>
              </w:rPr>
              <w:object w:dxaOrig="240" w:dyaOrig="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10.5pt" o:ole="">
                  <v:imagedata r:id="rId6" o:title=""/>
                </v:shape>
                <o:OLEObject Type="Embed" ProgID="Equation.3" ShapeID="_x0000_i1025" DrawAspect="Content" ObjectID="_1489672547" r:id="rId7"/>
              </w:object>
            </w:r>
            <w:r w:rsidRPr="00E10B94">
              <w:rPr>
                <w:rFonts w:ascii="Arial" w:hAnsi="Arial" w:cs="Arial"/>
              </w:rPr>
              <w:t xml:space="preserve"> według równania: </w:t>
            </w:r>
            <w:r w:rsidRPr="00E10B94">
              <w:rPr>
                <w:rFonts w:ascii="Arial" w:hAnsi="Arial" w:cs="Arial"/>
                <w:position w:val="-30"/>
              </w:rPr>
              <w:object w:dxaOrig="880" w:dyaOrig="680">
                <v:shape id="_x0000_i1026" type="#_x0000_t75" style="width:44.25pt;height:34.5pt" o:ole="">
                  <v:imagedata r:id="rId8" o:title=""/>
                </v:shape>
                <o:OLEObject Type="Embed" ProgID="Equation.3" ShapeID="_x0000_i1026" DrawAspect="Content" ObjectID="_1489672548" r:id="rId9"/>
              </w:objec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053844">
        <w:rPr>
          <w:rFonts w:ascii="Arial" w:hAnsi="Arial" w:cs="Arial"/>
          <w:b/>
        </w:rPr>
        <w:t>Tablica 3.</w:t>
      </w:r>
      <w:r>
        <w:rPr>
          <w:rFonts w:ascii="Arial" w:hAnsi="Arial" w:cs="Arial"/>
        </w:rPr>
        <w:t xml:space="preserve"> </w:t>
      </w:r>
      <w:r w:rsidR="0065609C" w:rsidRPr="00E10B94">
        <w:rPr>
          <w:rFonts w:ascii="Arial" w:hAnsi="Arial" w:cs="Arial"/>
        </w:rPr>
        <w:t>Wymagane właściwości mieszanki mineralno-asfaltowej do warstwy wiążącej</w:t>
      </w:r>
      <w:r>
        <w:rPr>
          <w:rFonts w:ascii="Arial" w:hAnsi="Arial" w:cs="Arial"/>
        </w:rPr>
        <w:t>.</w:t>
      </w:r>
      <w:r w:rsidR="0065609C" w:rsidRPr="00E10B94">
        <w:rPr>
          <w:rFonts w:ascii="Arial" w:hAnsi="Arial" w:cs="Arial"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8"/>
        <w:gridCol w:w="1559"/>
        <w:gridCol w:w="3828"/>
        <w:gridCol w:w="1842"/>
      </w:tblGrid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Właściwość</w:t>
            </w:r>
          </w:p>
        </w:tc>
        <w:tc>
          <w:tcPr>
            <w:tcW w:w="1559" w:type="dxa"/>
            <w:vAlign w:val="center"/>
          </w:tcPr>
          <w:p w:rsidR="0065609C" w:rsidRPr="00053844" w:rsidRDefault="0065609C" w:rsidP="0005384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844">
              <w:rPr>
                <w:rFonts w:ascii="Arial" w:hAnsi="Arial" w:cs="Arial"/>
                <w:sz w:val="18"/>
                <w:szCs w:val="18"/>
              </w:rPr>
              <w:t>Warunki zagęszczania wg</w:t>
            </w:r>
            <w:r w:rsidR="0005384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53844">
              <w:rPr>
                <w:rFonts w:ascii="Arial" w:hAnsi="Arial" w:cs="Arial"/>
                <w:sz w:val="18"/>
                <w:szCs w:val="18"/>
              </w:rPr>
              <w:t xml:space="preserve">PN-EN 13108-20:2008  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Metoda i warunki badania</w:t>
            </w:r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AC16W</w:t>
            </w:r>
          </w:p>
        </w:tc>
      </w:tr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wolnych przestrzeni</w:t>
            </w:r>
          </w:p>
        </w:tc>
        <w:tc>
          <w:tcPr>
            <w:tcW w:w="1559" w:type="dxa"/>
            <w:vAlign w:val="center"/>
          </w:tcPr>
          <w:p w:rsidR="0065609C" w:rsidRPr="00053844" w:rsidRDefault="0065609C" w:rsidP="00E10B9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844">
              <w:rPr>
                <w:rFonts w:ascii="Arial" w:hAnsi="Arial" w:cs="Arial"/>
                <w:sz w:val="18"/>
                <w:szCs w:val="18"/>
              </w:rPr>
              <w:t>C.1.3,ubijanie, 2×75 uderzeń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12697-8:2005, p. 4</w:t>
            </w:r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i/>
              </w:rPr>
              <w:t>V</w:t>
            </w:r>
            <w:r w:rsidRPr="00E10B94">
              <w:rPr>
                <w:rFonts w:ascii="Arial" w:hAnsi="Arial" w:cs="Arial"/>
                <w:vertAlign w:val="subscript"/>
              </w:rPr>
              <w:t>min4,0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i/>
              </w:rPr>
              <w:t>V</w:t>
            </w:r>
            <w:r w:rsidRPr="00E10B94">
              <w:rPr>
                <w:rFonts w:ascii="Arial" w:hAnsi="Arial" w:cs="Arial"/>
                <w:vertAlign w:val="subscript"/>
              </w:rPr>
              <w:t>max7,0</w:t>
            </w:r>
          </w:p>
        </w:tc>
      </w:tr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Odporność na deformacje trwałe (grubość płyty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E10B94">
                <w:rPr>
                  <w:rFonts w:ascii="Arial" w:hAnsi="Arial" w:cs="Arial"/>
                </w:rPr>
                <w:t>60 mm</w:t>
              </w:r>
            </w:smartTag>
            <w:r w:rsidRPr="00E10B94">
              <w:rPr>
                <w:rFonts w:ascii="Arial" w:hAnsi="Arial" w:cs="Arial"/>
              </w:rPr>
              <w:t>)</w:t>
            </w:r>
          </w:p>
        </w:tc>
        <w:tc>
          <w:tcPr>
            <w:tcW w:w="1559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C.1.20, wałowanie,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</w:t>
            </w:r>
            <w:r w:rsidRPr="00E10B94">
              <w:rPr>
                <w:rFonts w:ascii="Arial" w:hAnsi="Arial" w:cs="Arial"/>
                <w:vertAlign w:val="subscript"/>
              </w:rPr>
              <w:t>98</w:t>
            </w:r>
            <w:r w:rsidRPr="00E10B94">
              <w:rPr>
                <w:rFonts w:ascii="Arial" w:hAnsi="Arial" w:cs="Arial"/>
              </w:rPr>
              <w:t>-P</w:t>
            </w:r>
            <w:r w:rsidRPr="00E10B94">
              <w:rPr>
                <w:rFonts w:ascii="Arial" w:hAnsi="Arial" w:cs="Arial"/>
                <w:vertAlign w:val="subscript"/>
              </w:rPr>
              <w:t>100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12697-22:2004, metoda B w powietrzu, PN-EN 13108-20:2008, D.1.6,60°C, 10 000 cykli </w:t>
            </w:r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bscript"/>
              </w:rPr>
            </w:pPr>
            <w:r w:rsidRPr="00E10B94">
              <w:rPr>
                <w:rFonts w:ascii="Arial" w:hAnsi="Arial" w:cs="Arial"/>
                <w:i/>
              </w:rPr>
              <w:t>WTS</w:t>
            </w:r>
            <w:r w:rsidRPr="00E10B94">
              <w:rPr>
                <w:rFonts w:ascii="Arial" w:hAnsi="Arial" w:cs="Arial"/>
                <w:vertAlign w:val="subscript"/>
              </w:rPr>
              <w:t>AIR0,30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bscript"/>
              </w:rPr>
            </w:pPr>
            <w:r w:rsidRPr="00E10B94">
              <w:rPr>
                <w:rFonts w:ascii="Arial" w:hAnsi="Arial" w:cs="Arial"/>
                <w:i/>
              </w:rPr>
              <w:t>PRD</w:t>
            </w:r>
            <w:r w:rsidRPr="00E10B94">
              <w:rPr>
                <w:rFonts w:ascii="Arial" w:hAnsi="Arial" w:cs="Arial"/>
                <w:vertAlign w:val="subscript"/>
              </w:rPr>
              <w:t>AIRDeklarowane</w:t>
            </w:r>
          </w:p>
        </w:tc>
      </w:tr>
      <w:tr w:rsidR="0065609C" w:rsidRPr="00E10B94" w:rsidTr="00BA28B2">
        <w:tc>
          <w:tcPr>
            <w:tcW w:w="251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Odporność na działanie wody</w:t>
            </w:r>
          </w:p>
        </w:tc>
        <w:tc>
          <w:tcPr>
            <w:tcW w:w="1559" w:type="dxa"/>
            <w:vAlign w:val="center"/>
          </w:tcPr>
          <w:p w:rsidR="0065609C" w:rsidRPr="00053844" w:rsidRDefault="0065609C" w:rsidP="00E10B9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3844">
              <w:rPr>
                <w:rFonts w:ascii="Arial" w:hAnsi="Arial" w:cs="Arial"/>
                <w:sz w:val="18"/>
                <w:szCs w:val="18"/>
              </w:rPr>
              <w:t>C.1.1,ubijanie, 2×25 uderzeń</w:t>
            </w:r>
          </w:p>
        </w:tc>
        <w:tc>
          <w:tcPr>
            <w:tcW w:w="3828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PN-EN 12697-12:2008  przechowywanie w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E10B94">
                <w:rPr>
                  <w:rFonts w:ascii="Arial" w:hAnsi="Arial" w:cs="Arial"/>
                </w:rPr>
                <w:t>40°C</w:t>
              </w:r>
            </w:smartTag>
            <w:r w:rsidRPr="00E10B94">
              <w:rPr>
                <w:rFonts w:ascii="Arial" w:hAnsi="Arial" w:cs="Arial"/>
              </w:rPr>
              <w:t xml:space="preserve"> z jednym cyklem zamrażania, badanie w </w:t>
            </w:r>
            <w:smartTag w:uri="urn:schemas-microsoft-com:office:smarttags" w:element="metricconverter">
              <w:smartTagPr>
                <w:attr w:name="ProductID" w:val="15ﾰC"/>
              </w:smartTagPr>
              <w:r w:rsidRPr="00E10B94">
                <w:rPr>
                  <w:rFonts w:ascii="Arial" w:hAnsi="Arial" w:cs="Arial"/>
                </w:rPr>
                <w:t>15°C</w:t>
              </w:r>
            </w:smartTag>
          </w:p>
        </w:tc>
        <w:tc>
          <w:tcPr>
            <w:tcW w:w="1842" w:type="dxa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bscript"/>
              </w:rPr>
            </w:pPr>
            <w:r w:rsidRPr="00E10B94">
              <w:rPr>
                <w:rFonts w:ascii="Arial" w:hAnsi="Arial" w:cs="Arial"/>
                <w:i/>
              </w:rPr>
              <w:t>ITSR</w:t>
            </w:r>
            <w:r w:rsidRPr="00E10B94">
              <w:rPr>
                <w:rFonts w:ascii="Arial" w:hAnsi="Arial" w:cs="Arial"/>
                <w:i/>
                <w:vertAlign w:val="subscript"/>
              </w:rPr>
              <w:t>80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5.3.</w:t>
      </w:r>
      <w:r w:rsidRPr="00E10B94">
        <w:rPr>
          <w:rFonts w:ascii="Arial" w:hAnsi="Arial" w:cs="Arial"/>
        </w:rPr>
        <w:t xml:space="preserve"> Wytwarzanie mieszanki mineralno-asfaltowej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należy wytwarzać na gorąco w otaczarce (zespole maszyn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urządzeń dozowania, podgrzewania i mieszania składników oraz przechowywania gotowej mieszanki).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Dozowanie składników mieszanki mineralno-asfaltowej w otaczarkach, w tym także wstępne, powinno być zautomatyzowane i zgodne z receptą roboczą, a urządzenia do dozowania składników oraz pomiaru temperatury powinny być okresowo sprawdzane. Kruszywo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o różnym uziarnieniu lub pochodzeniu należy dodawać odmierzone oddzielnie.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Lepiszcze asfaltowe należy przechowywać w zbiorniku z pośrednim systemem ogrzewania, z układem termostatowania zapewniającym utrzymanie żądanej temperatury z dokładnością ± </w:t>
      </w:r>
      <w:smartTag w:uri="urn:schemas-microsoft-com:office:smarttags" w:element="metricconverter">
        <w:smartTagPr>
          <w:attr w:name="ProductID" w:val="5ﾰC"/>
        </w:smartTagPr>
        <w:r w:rsidRPr="00E10B94">
          <w:rPr>
            <w:rFonts w:ascii="Arial" w:hAnsi="Arial" w:cs="Arial"/>
          </w:rPr>
          <w:t>5°C</w:t>
        </w:r>
      </w:smartTag>
      <w:r w:rsidRPr="00E10B94">
        <w:rPr>
          <w:rFonts w:ascii="Arial" w:hAnsi="Arial" w:cs="Arial"/>
        </w:rPr>
        <w:t xml:space="preserve">. Temperatura lepiszcza asfaltowego w zbiorniku magazynowym (roboczym) nie może przekraczać </w:t>
      </w:r>
      <w:smartTag w:uri="urn:schemas-microsoft-com:office:smarttags" w:element="metricconverter">
        <w:smartTagPr>
          <w:attr w:name="ProductID" w:val="190ﾰC"/>
        </w:smartTagPr>
        <w:r w:rsidRPr="00E10B94">
          <w:rPr>
            <w:rFonts w:ascii="Arial" w:hAnsi="Arial" w:cs="Arial"/>
          </w:rPr>
          <w:t>190°C</w:t>
        </w:r>
      </w:smartTag>
      <w:r w:rsidRPr="00E10B94">
        <w:rPr>
          <w:rFonts w:ascii="Arial" w:hAnsi="Arial" w:cs="Arial"/>
        </w:rPr>
        <w:t xml:space="preserve"> dla asfaltu drogowego 35/50.</w:t>
      </w:r>
      <w:r w:rsidRPr="00E10B94">
        <w:rPr>
          <w:rFonts w:ascii="Arial" w:hAnsi="Arial" w:cs="Arial"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Kruszywo powinno być wysuszone i podgrzane tak, aby mieszanka mineralna uzyskała temperaturę właściwą do otoczenia lepiszczem asfaltowym. Temperatura mieszanki mineralnej nie powinna być wyższa o więcej niż </w:t>
      </w:r>
      <w:smartTag w:uri="urn:schemas-microsoft-com:office:smarttags" w:element="metricconverter">
        <w:smartTagPr>
          <w:attr w:name="ProductID" w:val="225ﾰC"/>
        </w:smartTagPr>
        <w:r w:rsidRPr="00E10B94">
          <w:rPr>
            <w:rFonts w:ascii="Arial" w:hAnsi="Arial" w:cs="Arial"/>
          </w:rPr>
          <w:t>225°C</w:t>
        </w:r>
      </w:smartTag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Sposób i czas mieszania składników mieszanki mineralno-asfaltowej powinny zapewnić równomierne otoczenie kruszywa lepiszczem asfaltowym.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Dopuszcza się dostawy mieszanek mineralno-asfaltowych z kilku wytwórni, pod warunkiem skoordynowania między sobą deklarowanych przydatności mieszanek (m.in.: typ, rodzaj składników, właściwości objętościowe) z zachowaniem braku różnic w ich właściwościach.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lastRenderedPageBreak/>
        <w:t>5.4.</w:t>
      </w:r>
      <w:r w:rsidRPr="00E10B94">
        <w:rPr>
          <w:rFonts w:ascii="Arial" w:hAnsi="Arial" w:cs="Arial"/>
        </w:rPr>
        <w:t xml:space="preserve"> Przygotowanie podłoża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Podłoże (podbudowa lub stara warstwa ścieralna) pod warstwę wiążącą lub wyrównawczą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 z betonu asfaltowego powinno być na całej powierzchni: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ustabilizowane i nośne,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czyste, bez zanieczyszczenia lub pozostałości luźnego kruszywa,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wyprofilowane, równe i bez kolein.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podłoża z nowo wykonanej warstwy asfaltowej, do oceny nierówności należy przyjąć dane z pomiaru równości tej warstwy, zgodnie z WT-2 Nawierzchnie asfaltowe 2008 - punkt 8.7.2. Wymagana równość podłużna jest określona w rozporządzeniu dotyczącym warunków technicznych, jakim powinny odpowiadać drogi publiczne. W wypadku podłoża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z warstwy starej nawierzchni, nierówności nie powinny przekraczać </w:t>
      </w:r>
      <w:smartTag w:uri="urn:schemas-microsoft-com:office:smarttags" w:element="metricconverter">
        <w:smartTagPr>
          <w:attr w:name="ProductID" w:val="10 mm"/>
        </w:smartTagPr>
        <w:r w:rsidRPr="00E10B94">
          <w:rPr>
            <w:rFonts w:ascii="Arial" w:hAnsi="Arial" w:cs="Arial"/>
          </w:rPr>
          <w:t>10 mm</w:t>
        </w:r>
      </w:smartTag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Jeżeli nierówności  są większe niż dopuszczalne, to należy wyrównać podłoże.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Rzędne wysokościowe podłoża oraz urządzeń usytuowanych w nawierzchni lub ją ograniczających powinny być zgodne z dokumentacją projektową. Z podłoża powinien być zapewniony odpływ wody.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celu polepszenia połączenia między warstwami technologicznymi nawierzchni powierzchnia podłoża powinna być w ocenie wizualnej chropowata.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Jeżeli podłoże jest nieodpowiednie, to należy ustalić, jakie specjalne środki należy podjąć przed wykonaniem warstwy asfaltowej.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Szerokie szczeliny w podłożu należy wypełnić odpowiednim materiałem, np. zalewami drogowymi według PN-EN 14188-1:2010 lub PN-EN 14188-2:2010 albo innymi materiałami według norm lub aprobat technicznych.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Na podłożu wykazującym zniszczenia w postaci siatki spękań zmęczeniowych lub spękań poprzecznych zaleca się stosowanie membrany przeciwspękaniowej, np. mieszanki mineralno-asfaltowej, warstwy SAMI lub z geosyntetyków według norm lub aprobat technicznych.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5.5.</w:t>
      </w:r>
      <w:r w:rsidRPr="00E10B94">
        <w:rPr>
          <w:rFonts w:ascii="Arial" w:hAnsi="Arial" w:cs="Arial"/>
        </w:rPr>
        <w:t xml:space="preserve"> Połączenie międzywarstwowe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Uzyskanie wymaganej trwałości nawierzchni jest uzależnione od zapewnienia połączenia między warstwami i ich współpracy w przenoszeniu obciążenia nawierzchni ruchem.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Podłoże powinno być skropione lepiszczem. Ma to na celu zwiększenie połączenia między warstwami konstrukcyjnymi oraz zabezpieczenie przed wnikaniem i zaleganiem wody między warstwami.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Skropienie lepiszczem podłoża (np. podbudowa asfaltowa), przed ułożeniem warstwy wiążącej z betonu asfaltowego powinno być wykonane w ilości podanej w przeliczeniu na pozostałe lepiszcze, tj. 0,3 ÷ 0,5 kg/m</w:t>
      </w:r>
      <w:r w:rsidRPr="00E10B94">
        <w:rPr>
          <w:rFonts w:ascii="Arial" w:hAnsi="Arial" w:cs="Arial"/>
          <w:vertAlign w:val="superscript"/>
        </w:rPr>
        <w:t>2</w:t>
      </w:r>
      <w:r w:rsidRPr="00E10B94">
        <w:rPr>
          <w:rFonts w:ascii="Arial" w:hAnsi="Arial" w:cs="Arial"/>
        </w:rPr>
        <w:t>, przy czym: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zaleca się stosować</w:t>
      </w:r>
      <w:r w:rsidR="00053844">
        <w:rPr>
          <w:rFonts w:ascii="Arial" w:hAnsi="Arial" w:cs="Arial"/>
        </w:rPr>
        <w:t xml:space="preserve"> emulsję modyfikowaną polimerem.</w:t>
      </w:r>
    </w:p>
    <w:p w:rsidR="0065609C" w:rsidRPr="00E10B94" w:rsidRDefault="00053844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</w:t>
      </w:r>
      <w:r w:rsidR="0065609C" w:rsidRPr="00E10B94">
        <w:rPr>
          <w:rFonts w:ascii="Arial" w:hAnsi="Arial" w:cs="Arial"/>
        </w:rPr>
        <w:t>lość emulsji należy dobrać z uwzględnieniem stanu podłoża oraz porowatości mieszanki; jeśli mieszanka ma większą zawartość wolnych przestrzeni, to należy użyć większą ilość lepiszcza do skropienia, które po ułożeniu warstwy ścieralnej uszczelni ją.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Skrapianie podłoża należy wykonywać równomiernie stosując rampy do skrapiania,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np. skrapiarki do lepiszczy asfaltowych. Dopuszcza się skrapianie ręczne lancą w miejscach trudno dostępnych (np. ścieki uliczne) oraz przy urządzeniach usytuowanych w nawierzchni lub ją ograniczających. W razie potrzeby urządzenia te należy zabezpieczyć przed zabrudzeniem. Skropione podłoże należy wyłączyć z ruchu publicznego przez zmianę organizacji ruchu.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stosowania emulsji asfaltowej podłoże powinno być skropione 0,5 h przed układaniem warstwy asfaltowej w celu odparowania wody.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Czas ten nie dotyczy skrapiania rampą zamontowaną na rozkładarce.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053844">
        <w:rPr>
          <w:rFonts w:ascii="Arial" w:hAnsi="Arial" w:cs="Arial"/>
          <w:b/>
        </w:rPr>
        <w:t>5.8.</w:t>
      </w:r>
      <w:r w:rsidRPr="00E10B94">
        <w:rPr>
          <w:rFonts w:ascii="Arial" w:hAnsi="Arial" w:cs="Arial"/>
        </w:rPr>
        <w:t xml:space="preserve"> Wbudowanie mieszanki mineralno-asfaltowej</w:t>
      </w:r>
      <w:r w:rsidR="0005384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można wbudowywać na podłożu przygotowanym zgodnie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z zapisami w punktach 5.4 i 5.5.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Transport mieszanki mineralno-asfaltowej asfaltowej powinien być zgodny z zaleceniami podanymi w punkcie 4.2.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Mieszankę mineralno-asfaltową asfaltową należy wbudowywać w odpowiednich warunkach atmosferycznych.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Temperatura otoczenia w ciągu doby nie powinna być niższa od temperatury podanej</w:t>
      </w:r>
      <w:r w:rsidR="00053844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tablicy 4. Temperatura otoczenia może być niższa w wypadku stosowania ogrzewania podłoża. Nie dopuszcza się układania mieszanki mineralno-asfaltowej asfaltowej podczas silnego wiatru (V &gt; 16 m/s).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stosowania mieszanek mineralno-asfaltowych z dodatkiem obniżającym temperaturę mieszania i wbudowania należy indywidualnie określić wymagane warunki otoczenia.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ab/>
      </w:r>
      <w:r w:rsidRPr="007E6502">
        <w:rPr>
          <w:rFonts w:ascii="Arial" w:hAnsi="Arial" w:cs="Arial"/>
          <w:b/>
        </w:rPr>
        <w:t>Tablica 4.</w:t>
      </w:r>
      <w:r w:rsidR="007E6502">
        <w:rPr>
          <w:rFonts w:ascii="Arial" w:hAnsi="Arial" w:cs="Arial"/>
        </w:rPr>
        <w:t xml:space="preserve"> </w:t>
      </w:r>
      <w:r w:rsidRPr="00E10B94">
        <w:rPr>
          <w:rFonts w:ascii="Arial" w:hAnsi="Arial" w:cs="Arial"/>
        </w:rPr>
        <w:t>Minimalna temperatura otoczenia podczas wykonywania warstwy wiążącej  z betonu asfaltowego</w:t>
      </w:r>
      <w:r w:rsidR="007E6502">
        <w:rPr>
          <w:rFonts w:ascii="Arial" w:hAnsi="Arial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2693"/>
        <w:gridCol w:w="1591"/>
      </w:tblGrid>
      <w:tr w:rsidR="0065609C" w:rsidRPr="00E10B94" w:rsidTr="00BA28B2">
        <w:tc>
          <w:tcPr>
            <w:tcW w:w="3227" w:type="dxa"/>
            <w:vMerge w:val="restart"/>
            <w:vAlign w:val="center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Rodzaj robót</w:t>
            </w:r>
          </w:p>
        </w:tc>
        <w:tc>
          <w:tcPr>
            <w:tcW w:w="4284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Minimalna temperatura otoczenia  [°C]</w:t>
            </w:r>
          </w:p>
        </w:tc>
      </w:tr>
      <w:tr w:rsidR="0065609C" w:rsidRPr="00E10B94" w:rsidTr="00BA28B2">
        <w:tc>
          <w:tcPr>
            <w:tcW w:w="3227" w:type="dxa"/>
            <w:vMerge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przed przystąpieniem do robót</w:t>
            </w:r>
          </w:p>
        </w:tc>
        <w:tc>
          <w:tcPr>
            <w:tcW w:w="159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 czasie robót</w:t>
            </w:r>
          </w:p>
        </w:tc>
      </w:tr>
      <w:tr w:rsidR="0065609C" w:rsidRPr="00E10B94" w:rsidTr="00BA28B2">
        <w:tc>
          <w:tcPr>
            <w:tcW w:w="322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Warstwa wiążąca</w:t>
            </w:r>
          </w:p>
        </w:tc>
        <w:tc>
          <w:tcPr>
            <w:tcW w:w="269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0</w:t>
            </w:r>
          </w:p>
        </w:tc>
        <w:tc>
          <w:tcPr>
            <w:tcW w:w="159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+2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Właściwości wykonanej warstwy powinny spełniać warunki podane w tablicy 5.</w:t>
      </w:r>
    </w:p>
    <w:p w:rsidR="0065609C" w:rsidRDefault="0065609C" w:rsidP="00E10B94">
      <w:pPr>
        <w:jc w:val="both"/>
        <w:rPr>
          <w:rFonts w:ascii="Arial" w:hAnsi="Arial" w:cs="Arial"/>
        </w:rPr>
      </w:pPr>
    </w:p>
    <w:p w:rsidR="007E6502" w:rsidRPr="00E10B94" w:rsidRDefault="007E6502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lastRenderedPageBreak/>
        <w:t>Tablica 5.</w:t>
      </w:r>
      <w:r w:rsidRPr="00E10B94">
        <w:rPr>
          <w:rFonts w:ascii="Arial" w:hAnsi="Arial" w:cs="Arial"/>
        </w:rPr>
        <w:t xml:space="preserve"> Właściwości warstwy AC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1733"/>
        <w:gridCol w:w="1878"/>
        <w:gridCol w:w="1878"/>
      </w:tblGrid>
      <w:tr w:rsidR="0065609C" w:rsidRPr="00E10B94" w:rsidTr="00BA28B2">
        <w:tc>
          <w:tcPr>
            <w:tcW w:w="208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Typ i wymiar mieszanki</w:t>
            </w:r>
          </w:p>
        </w:tc>
        <w:tc>
          <w:tcPr>
            <w:tcW w:w="166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Projektowana grubość warstwy technologicznej [cm]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Wskaźnik zagęszczenia 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[%]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wolnych przestrzeni w warstwie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[%(v/v)]</w:t>
            </w:r>
          </w:p>
        </w:tc>
      </w:tr>
      <w:tr w:rsidR="0065609C" w:rsidRPr="00E10B94" w:rsidTr="00BA28B2">
        <w:tc>
          <w:tcPr>
            <w:tcW w:w="208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 xml:space="preserve">AC16W, </w:t>
            </w:r>
            <w:r w:rsidRPr="00E10B94">
              <w:rPr>
                <w:rFonts w:ascii="Arial" w:hAnsi="Arial" w:cs="Arial"/>
                <w:vertAlign w:val="superscript"/>
              </w:rPr>
              <w:t>E)</w:t>
            </w:r>
          </w:p>
        </w:tc>
        <w:tc>
          <w:tcPr>
            <w:tcW w:w="166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5,0 ÷ 10,0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≥ 98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4,0 ÷ 7,0</w:t>
            </w:r>
          </w:p>
        </w:tc>
      </w:tr>
      <w:tr w:rsidR="0065609C" w:rsidRPr="00E10B94" w:rsidTr="00BA28B2">
        <w:tc>
          <w:tcPr>
            <w:tcW w:w="208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 xml:space="preserve">AC16W, </w:t>
            </w:r>
            <w:r w:rsidRPr="00E10B94">
              <w:rPr>
                <w:rFonts w:ascii="Arial" w:hAnsi="Arial" w:cs="Arial"/>
                <w:vertAlign w:val="superscript"/>
              </w:rPr>
              <w:t>F)</w:t>
            </w:r>
          </w:p>
        </w:tc>
        <w:tc>
          <w:tcPr>
            <w:tcW w:w="1667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5,0 ÷ 10,0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≥ 98</w:t>
            </w:r>
          </w:p>
        </w:tc>
        <w:tc>
          <w:tcPr>
            <w:tcW w:w="187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4,0 ÷ 7,0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vertAlign w:val="superscript"/>
        </w:rPr>
        <w:t>E)</w:t>
      </w:r>
      <w:r w:rsidRPr="00E10B94">
        <w:rPr>
          <w:rFonts w:ascii="Arial" w:hAnsi="Arial" w:cs="Arial"/>
        </w:rPr>
        <w:t xml:space="preserve"> projektowanie empiryczne,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vertAlign w:val="superscript"/>
        </w:rPr>
        <w:t>F)</w:t>
      </w:r>
      <w:r w:rsidRPr="00E10B94">
        <w:rPr>
          <w:rFonts w:ascii="Arial" w:hAnsi="Arial" w:cs="Arial"/>
        </w:rPr>
        <w:t xml:space="preserve"> projektowanie funkcjonalne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Mieszanka mineralno-asfaltowa powinna być wbudowywana rozkładarką wyposażoną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układ automatycznego sterowania grubości warstwy i utrzymywania niwelety zgodnie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z dokumentacją projektową. W miejscach niedostępnych dla sprzętu dopuszcza się wbudowywanie ręczne.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Grubość wykonywanej warstwy powinna być sprawdzana co </w:t>
      </w:r>
      <w:smartTag w:uri="urn:schemas-microsoft-com:office:smarttags" w:element="metricconverter">
        <w:smartTagPr>
          <w:attr w:name="ProductID" w:val="25 m"/>
        </w:smartTagPr>
        <w:r w:rsidRPr="00E10B94">
          <w:rPr>
            <w:rFonts w:ascii="Arial" w:hAnsi="Arial" w:cs="Arial"/>
          </w:rPr>
          <w:t>25 m</w:t>
        </w:r>
      </w:smartTag>
      <w:r w:rsidRPr="00E10B94">
        <w:rPr>
          <w:rFonts w:ascii="Arial" w:hAnsi="Arial" w:cs="Arial"/>
        </w:rPr>
        <w:t>, w co najmniej trzech miejscach (w osi i przy brzegach warstwy).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Warstwy wałowane powinny być równomiernie zagęszczone ciężkimi walcami drogowymi. Do warstw z betonu asfaltowego należy stosować walce drogowe stalowe gładkie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z możliwością wibracji, oscylacji lub walce ogumione.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5.9.</w:t>
      </w:r>
      <w:r w:rsidRPr="00E10B94">
        <w:rPr>
          <w:rFonts w:ascii="Arial" w:hAnsi="Arial" w:cs="Arial"/>
        </w:rPr>
        <w:t xml:space="preserve"> Połączenia technologiczne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Połączenia technologiczne należy wykonać zgodnie z WT-2 Nawierzchnie asfaltowe 2008 punkt 8.6.</w:t>
      </w:r>
      <w:bookmarkStart w:id="8" w:name="_Toc237920704"/>
    </w:p>
    <w:p w:rsidR="0065609C" w:rsidRPr="007E6502" w:rsidRDefault="0065609C" w:rsidP="00E10B94">
      <w:pPr>
        <w:jc w:val="both"/>
        <w:rPr>
          <w:rFonts w:ascii="Arial" w:hAnsi="Arial" w:cs="Arial"/>
          <w:b/>
        </w:rPr>
      </w:pPr>
      <w:r w:rsidRPr="007E6502">
        <w:rPr>
          <w:rFonts w:ascii="Arial" w:hAnsi="Arial" w:cs="Arial"/>
          <w:b/>
        </w:rPr>
        <w:t xml:space="preserve">6. </w:t>
      </w:r>
      <w:bookmarkEnd w:id="8"/>
      <w:r w:rsidRPr="007E6502">
        <w:rPr>
          <w:rFonts w:ascii="Arial" w:hAnsi="Arial" w:cs="Arial"/>
          <w:b/>
        </w:rPr>
        <w:t>KONTROLA JAKOŚCI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6.1.</w:t>
      </w:r>
      <w:r w:rsidRPr="00E10B94">
        <w:rPr>
          <w:rFonts w:ascii="Arial" w:hAnsi="Arial" w:cs="Arial"/>
        </w:rPr>
        <w:t xml:space="preserve"> Ogólne zasady kontroli jakości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kontroli jakości robót podano w SSTWiORB   D-M-00.00.00 „Wymagania ogólne” pkt 6.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6.2.</w:t>
      </w:r>
      <w:r w:rsidRPr="00E10B94">
        <w:rPr>
          <w:rFonts w:ascii="Arial" w:hAnsi="Arial" w:cs="Arial"/>
        </w:rPr>
        <w:t xml:space="preserve"> Badania przed przystąpieniem do robót</w:t>
      </w:r>
      <w:r w:rsidR="007E6502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Przed przystąpieniem do robót Wykonawca powinien:</w:t>
      </w:r>
    </w:p>
    <w:p w:rsidR="007E6502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uzyskać wymagane dokumenty, dopuszczające wyroby budowlane do obrotu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powszechnego stosowania (np. stwierdzenie o oznakowaniu materiału znakiem CE lub znakiem budowlanym B, certyfikat zgodności, deklarację zgodności, aprobatę techniczną, ew. badania materiałów wykonane przez dostawców itp.),</w:t>
      </w:r>
      <w:r w:rsidR="007E6502">
        <w:rPr>
          <w:rFonts w:ascii="Arial" w:hAnsi="Arial" w:cs="Arial"/>
        </w:rPr>
        <w:t xml:space="preserve"> </w:t>
      </w:r>
      <w:r w:rsidRPr="00E10B94">
        <w:rPr>
          <w:rFonts w:ascii="Arial" w:hAnsi="Arial" w:cs="Arial"/>
        </w:rPr>
        <w:t>ew. wykonać własne badania właściwości materiałów przeznaczonych do wykonania robót, określone przez In</w:t>
      </w:r>
      <w:r w:rsidR="007E6502">
        <w:rPr>
          <w:rFonts w:ascii="Arial" w:hAnsi="Arial" w:cs="Arial"/>
        </w:rPr>
        <w:t>spektora Nadzoru</w:t>
      </w:r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lastRenderedPageBreak/>
        <w:t>Wszystkie dokumenty oraz wyniki badań Wykonawca przedstawia In</w:t>
      </w:r>
      <w:r w:rsidR="007E6502">
        <w:rPr>
          <w:rFonts w:ascii="Arial" w:hAnsi="Arial" w:cs="Arial"/>
        </w:rPr>
        <w:t>spektorowi Nadzoru</w:t>
      </w:r>
      <w:r w:rsidRPr="00E10B94">
        <w:rPr>
          <w:rFonts w:ascii="Arial" w:hAnsi="Arial" w:cs="Arial"/>
        </w:rPr>
        <w:t xml:space="preserve"> do akceptacji.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7E6502">
        <w:rPr>
          <w:rFonts w:ascii="Arial" w:hAnsi="Arial" w:cs="Arial"/>
          <w:b/>
        </w:rPr>
        <w:t>6.3.</w:t>
      </w:r>
      <w:r w:rsidRPr="00E10B94">
        <w:rPr>
          <w:rFonts w:ascii="Arial" w:hAnsi="Arial" w:cs="Arial"/>
        </w:rPr>
        <w:t xml:space="preserve"> Badania w czasie robót</w:t>
      </w:r>
      <w:r w:rsidR="007E6502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6.3.1. </w:t>
      </w:r>
      <w:r w:rsidRPr="00E10B94">
        <w:rPr>
          <w:rFonts w:ascii="Arial" w:hAnsi="Arial" w:cs="Arial"/>
        </w:rPr>
        <w:t>Uwagi ogólne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dzielą się na: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badania wykonawcy (w ramach własnego nadzoru),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badania kontrolne (w ramach nadzoru zleceniodawcy – In</w:t>
      </w:r>
      <w:r>
        <w:rPr>
          <w:rFonts w:ascii="Arial" w:hAnsi="Arial" w:cs="Arial"/>
        </w:rPr>
        <w:t>spektora Nadzoru</w:t>
      </w:r>
      <w:r w:rsidR="0065609C" w:rsidRPr="00E10B94">
        <w:rPr>
          <w:rFonts w:ascii="Arial" w:hAnsi="Arial" w:cs="Arial"/>
        </w:rPr>
        <w:t>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6.3.2. </w:t>
      </w:r>
      <w:r w:rsidRPr="00E10B94">
        <w:rPr>
          <w:rFonts w:ascii="Arial" w:hAnsi="Arial" w:cs="Arial"/>
        </w:rPr>
        <w:t>Badania Wykonawcy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Wykonawcy są wykonywane przez Wykonawcę lub jego zleceniobiorców celem sprawdzenia, czy jakość materiałów budowlanych (mieszanek mineralno-asfaltowych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ich składników, lepiszczy i materiałów do uszczelnień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oraz gotowej warstwy (wbudowane warstwy asfaltowe, połączenia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spełniają wymagania określone</w:t>
      </w:r>
      <w:r w:rsidR="007E6502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w </w:t>
      </w:r>
      <w:r w:rsidR="007E6502">
        <w:rPr>
          <w:rFonts w:ascii="Arial" w:hAnsi="Arial" w:cs="Arial"/>
        </w:rPr>
        <w:t>umowie</w:t>
      </w:r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Wykonawca powinien wykonywać te badania podczas realizacji </w:t>
      </w:r>
      <w:r w:rsidR="007E6502">
        <w:rPr>
          <w:rFonts w:ascii="Arial" w:hAnsi="Arial" w:cs="Arial"/>
        </w:rPr>
        <w:t>umowy</w:t>
      </w:r>
      <w:r w:rsidRPr="00E10B94">
        <w:rPr>
          <w:rFonts w:ascii="Arial" w:hAnsi="Arial" w:cs="Arial"/>
        </w:rPr>
        <w:t xml:space="preserve">, z niezbędną starannością i w wymaganym zakresie. Wyniki należy zapisywać w protokołach. W razie stwierdzenia uchybień w stosunku do wymagań </w:t>
      </w:r>
      <w:r w:rsidR="007E6502">
        <w:rPr>
          <w:rFonts w:ascii="Arial" w:hAnsi="Arial" w:cs="Arial"/>
        </w:rPr>
        <w:t>umowy</w:t>
      </w:r>
      <w:r w:rsidRPr="00E10B94">
        <w:rPr>
          <w:rFonts w:ascii="Arial" w:hAnsi="Arial" w:cs="Arial"/>
        </w:rPr>
        <w:t>, ich przyczyny należy niezwłocznie usunąć.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Wyniki badań Wykonawcy należy przekazywać In</w:t>
      </w:r>
      <w:r w:rsidR="007E6502">
        <w:rPr>
          <w:rFonts w:ascii="Arial" w:hAnsi="Arial" w:cs="Arial"/>
        </w:rPr>
        <w:t>spektorowi Nadzoru</w:t>
      </w:r>
      <w:r w:rsidRPr="00E10B94">
        <w:rPr>
          <w:rFonts w:ascii="Arial" w:hAnsi="Arial" w:cs="Arial"/>
        </w:rPr>
        <w:t xml:space="preserve"> na jego żądanie. In</w:t>
      </w:r>
      <w:r w:rsidR="007E6502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może zdecydować o dokonaniu odbioru na podstawie badań Wykonawcy. W razie zastrzeżeń In</w:t>
      </w:r>
      <w:r w:rsidR="007E6502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może przeprowadzić badania kontrolne według pkt</w:t>
      </w:r>
      <w:r w:rsidR="007E6502">
        <w:rPr>
          <w:rFonts w:ascii="Arial" w:hAnsi="Arial" w:cs="Arial"/>
        </w:rPr>
        <w:t>-</w:t>
      </w:r>
      <w:r w:rsidRPr="00E10B94">
        <w:rPr>
          <w:rFonts w:ascii="Arial" w:hAnsi="Arial" w:cs="Arial"/>
        </w:rPr>
        <w:t>u 6.3.3.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Zakres badań Wykonawcy związany z wykonywaniem nawierzchni: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temperatury powietrza,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temperatury mieszanki mineralno-asfaltowej podczas wykonywania nawierzchni (wg PN-EN 12697-13:2005),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ocena wizualna mieszanki mineralno-asfaltowej,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wykaz ilości materiałów lub grubości wykonanej warstwy,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spadku poprzecznego warstwy asfaltowej,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równości warstwy asfaltowej (wg pktu 6.4.2.5),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pomiar parametrów geometrycznych poboczy,</w:t>
      </w:r>
    </w:p>
    <w:p w:rsidR="0065609C" w:rsidRPr="00E10B94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ocena wizualna jednorodności powierzchni warstwy,</w:t>
      </w:r>
    </w:p>
    <w:p w:rsidR="0065609C" w:rsidRDefault="007E6502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ocena wizualna jakości wykonania połączeń technologicznych.</w:t>
      </w:r>
    </w:p>
    <w:p w:rsidR="007E6502" w:rsidRPr="00E10B94" w:rsidRDefault="007E6502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lastRenderedPageBreak/>
        <w:t xml:space="preserve">6.3.3. </w:t>
      </w:r>
      <w:r w:rsidRPr="00E10B94">
        <w:rPr>
          <w:rFonts w:ascii="Arial" w:hAnsi="Arial" w:cs="Arial"/>
        </w:rPr>
        <w:t>Badania kontrolne</w:t>
      </w:r>
      <w:r w:rsidR="007E6502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kontrolne są badaniami In</w:t>
      </w:r>
      <w:r w:rsidR="007E6502">
        <w:rPr>
          <w:rFonts w:ascii="Arial" w:hAnsi="Arial" w:cs="Arial"/>
        </w:rPr>
        <w:t>spektora Nadzoru</w:t>
      </w:r>
      <w:r w:rsidRPr="00E10B94">
        <w:rPr>
          <w:rFonts w:ascii="Arial" w:hAnsi="Arial" w:cs="Arial"/>
        </w:rPr>
        <w:t>, których celem jest sprawdzenie,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 czy jakość materiałów budowlanych (mieszanek mineralno-asfaltowych i ich składników, lepiszczy i materiałów do uszczelnień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oraz gotowej warstwy (wbudowane warstwy asfaltowe, połączenia</w:t>
      </w:r>
      <w:r w:rsidR="007E6502">
        <w:rPr>
          <w:rFonts w:ascii="Arial" w:hAnsi="Arial" w:cs="Arial"/>
        </w:rPr>
        <w:t>,</w:t>
      </w:r>
      <w:r w:rsidRPr="00E10B94">
        <w:rPr>
          <w:rFonts w:ascii="Arial" w:hAnsi="Arial" w:cs="Arial"/>
        </w:rPr>
        <w:t xml:space="preserve"> itp.) spełniają wymagania określone w kontrakcie. Wyniki tych badań są podstawą odbioru. Pobieraniem próbek i wykonaniem badań na miejscu budowy zajmuje się In</w:t>
      </w:r>
      <w:r w:rsidR="00246309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w obecności Wykonawcy. Badania odbywają się również wtedy,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>gdy Wykonawca zostanie w porę powiadomiony o ich terminie, jednak nie będzie przy nich obecny.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Rodzaj badań kontrolnych mieszanki mineralno-asfaltowej i wykonanej z niej warstwy podano w tablicy 6.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246309">
        <w:rPr>
          <w:rFonts w:ascii="Arial" w:hAnsi="Arial" w:cs="Arial"/>
          <w:b/>
        </w:rPr>
        <w:t>Tablica 6.</w:t>
      </w:r>
      <w:r w:rsidRPr="00E10B94">
        <w:rPr>
          <w:rFonts w:ascii="Arial" w:hAnsi="Arial" w:cs="Arial"/>
        </w:rPr>
        <w:t xml:space="preserve"> Rodzaj badań kontrolnych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5670"/>
      </w:tblGrid>
      <w:tr w:rsidR="0065609C" w:rsidRPr="00E10B94" w:rsidTr="00BA28B2">
        <w:tc>
          <w:tcPr>
            <w:tcW w:w="226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Lp.</w:t>
            </w:r>
          </w:p>
        </w:tc>
        <w:tc>
          <w:tcPr>
            <w:tcW w:w="56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Rodzaj badań</w:t>
            </w:r>
          </w:p>
        </w:tc>
      </w:tr>
      <w:tr w:rsidR="0065609C" w:rsidRPr="00E10B94" w:rsidTr="00BA28B2">
        <w:tc>
          <w:tcPr>
            <w:tcW w:w="2263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1.1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1.2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1.3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1.4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2.1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2.2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2.3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2.4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2.5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2.6</w:t>
            </w:r>
          </w:p>
        </w:tc>
        <w:tc>
          <w:tcPr>
            <w:tcW w:w="5670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  <w:vertAlign w:val="superscript"/>
              </w:rPr>
            </w:pPr>
            <w:r w:rsidRPr="00E10B94">
              <w:rPr>
                <w:rFonts w:ascii="Arial" w:hAnsi="Arial" w:cs="Arial"/>
              </w:rPr>
              <w:t xml:space="preserve">Mieszanka mineralno-asfaltowa </w:t>
            </w:r>
            <w:r w:rsidRPr="00E10B94">
              <w:rPr>
                <w:rFonts w:ascii="Arial" w:hAnsi="Arial" w:cs="Arial"/>
                <w:vertAlign w:val="superscript"/>
              </w:rPr>
              <w:t>a), b)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Uziarnienie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Zawartość lepiszcza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Temperatura mięknienia lepiszcza odzyskanego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Gęstość i zawartość wolnych przestrzeni próbki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Warstwa asfaltowa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Wskaźnik zagęszczenia </w:t>
            </w:r>
            <w:r w:rsidRPr="00E10B94">
              <w:rPr>
                <w:rFonts w:ascii="Arial" w:hAnsi="Arial" w:cs="Arial"/>
                <w:vertAlign w:val="superscript"/>
              </w:rPr>
              <w:t>a)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Spadki poprzeczne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Równość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Grubość lub ilość materiału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Zawartość wolnych przestrzeni </w:t>
            </w:r>
            <w:r w:rsidRPr="00E10B94">
              <w:rPr>
                <w:rFonts w:ascii="Arial" w:hAnsi="Arial" w:cs="Arial"/>
                <w:vertAlign w:val="superscript"/>
              </w:rPr>
              <w:t>a)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Właściwości przeciwpoślizgowe</w:t>
            </w:r>
          </w:p>
        </w:tc>
      </w:tr>
      <w:tr w:rsidR="0065609C" w:rsidRPr="00E10B94" w:rsidTr="00BA28B2">
        <w:tc>
          <w:tcPr>
            <w:tcW w:w="7933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a)</w:t>
            </w:r>
            <w:r w:rsidRPr="00E10B94">
              <w:rPr>
                <w:rFonts w:ascii="Arial" w:hAnsi="Arial" w:cs="Arial"/>
              </w:rPr>
              <w:t xml:space="preserve"> do każdej warstwy i na każde rozpoczęte </w:t>
            </w:r>
            <w:smartTag w:uri="urn:schemas-microsoft-com:office:smarttags" w:element="metricconverter">
              <w:smartTagPr>
                <w:attr w:name="ProductID" w:val="6ﾠ000 m2"/>
              </w:smartTagPr>
              <w:r w:rsidRPr="00E10B94">
                <w:rPr>
                  <w:rFonts w:ascii="Arial" w:hAnsi="Arial" w:cs="Arial"/>
                </w:rPr>
                <w:t>6 000 m</w:t>
              </w:r>
              <w:r w:rsidRPr="00E10B94">
                <w:rPr>
                  <w:rFonts w:ascii="Arial" w:hAnsi="Arial" w:cs="Arial"/>
                  <w:vertAlign w:val="superscript"/>
                </w:rPr>
                <w:t>2</w:t>
              </w:r>
            </w:smartTag>
            <w:r w:rsidRPr="00E10B94">
              <w:rPr>
                <w:rFonts w:ascii="Arial" w:hAnsi="Arial" w:cs="Arial"/>
              </w:rPr>
              <w:t xml:space="preserve"> nawierzchni jedna próbka; w razie potrzeby liczba próbek może zostać zwiększona (np. nawierzchnie dróg w terenie zabudowy)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b)</w:t>
            </w:r>
            <w:r w:rsidRPr="00E10B94">
              <w:rPr>
                <w:rFonts w:ascii="Arial" w:hAnsi="Arial" w:cs="Arial"/>
              </w:rPr>
              <w:t xml:space="preserve">   w razie potrzeby specjalne kruszywa i dodatki</w:t>
            </w:r>
          </w:p>
        </w:tc>
      </w:tr>
    </w:tbl>
    <w:p w:rsidR="0065609C" w:rsidRDefault="0065609C" w:rsidP="00E10B94">
      <w:pPr>
        <w:jc w:val="both"/>
        <w:rPr>
          <w:rFonts w:ascii="Arial" w:hAnsi="Arial" w:cs="Arial"/>
        </w:rPr>
      </w:pPr>
    </w:p>
    <w:p w:rsidR="00246309" w:rsidRDefault="00246309" w:rsidP="00E10B94">
      <w:pPr>
        <w:jc w:val="both"/>
        <w:rPr>
          <w:rFonts w:ascii="Arial" w:hAnsi="Arial" w:cs="Arial"/>
        </w:rPr>
      </w:pPr>
    </w:p>
    <w:p w:rsidR="00246309" w:rsidRDefault="00246309" w:rsidP="00E10B94">
      <w:pPr>
        <w:jc w:val="both"/>
        <w:rPr>
          <w:rFonts w:ascii="Arial" w:hAnsi="Arial" w:cs="Arial"/>
        </w:rPr>
      </w:pPr>
    </w:p>
    <w:p w:rsidR="00246309" w:rsidRPr="00E10B94" w:rsidRDefault="00246309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lastRenderedPageBreak/>
        <w:t xml:space="preserve">6.3.4. </w:t>
      </w:r>
      <w:r w:rsidRPr="00E10B94">
        <w:rPr>
          <w:rFonts w:ascii="Arial" w:hAnsi="Arial" w:cs="Arial"/>
        </w:rPr>
        <w:t>Badania kontrolne dodatkowe</w:t>
      </w:r>
      <w:r w:rsidR="00246309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uznania, że jeden z wyników badań kontrolnych nie jest reprezentatywny dla ocenianego odcinka budowy, Wykonawca ma prawo żądać przeprowadzenia badań kontrolnych dodatkowych.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In</w:t>
      </w:r>
      <w:r w:rsidR="00246309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i Wykonawca decydują wspólnie o miejscach pobierania próbek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>i wyznaczeniu odcinków częściowych ocenianego odcinka budowy. Jeżeli odcinek częściowy przyporządkowany do badań kontrolnych nie może być jednoznacznie i zgodnie wyznaczony, to odcinek ten nie powinien być mniejszy niż 20% ocenianego odcinka budowy.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odbioru uwzględniane są wyniki badań kontrolnych i badań kontrolnych dodatkowych</w:t>
      </w:r>
      <w:r w:rsidR="00246309">
        <w:rPr>
          <w:rFonts w:ascii="Arial" w:hAnsi="Arial" w:cs="Arial"/>
        </w:rPr>
        <w:br/>
      </w:r>
      <w:r w:rsidRPr="00E10B94">
        <w:rPr>
          <w:rFonts w:ascii="Arial" w:hAnsi="Arial" w:cs="Arial"/>
        </w:rPr>
        <w:t>do wyznaczonych odcinków częściowych.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Koszty badań kontrolnych dodatkowych zażądanych przez Wykonawcę ponosi Wykonawca.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6.3.5. </w:t>
      </w:r>
      <w:r w:rsidRPr="00E10B94">
        <w:rPr>
          <w:rFonts w:ascii="Arial" w:hAnsi="Arial" w:cs="Arial"/>
        </w:rPr>
        <w:t>Badania arbitrażowe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arbitrażowe są powtórzeniem badań kontrolnych, co do których istnieją uzasadnione wątpliwości ze strony In</w:t>
      </w:r>
      <w:r w:rsidR="00D352B5">
        <w:rPr>
          <w:rFonts w:ascii="Arial" w:hAnsi="Arial" w:cs="Arial"/>
        </w:rPr>
        <w:t>spektora Nadzoru</w:t>
      </w:r>
      <w:r w:rsidRPr="00E10B94">
        <w:rPr>
          <w:rFonts w:ascii="Arial" w:hAnsi="Arial" w:cs="Arial"/>
        </w:rPr>
        <w:t xml:space="preserve"> lub Wykonawcy (np. na podstawie własnych badań).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Badania arbitrażowe wykonuje na wniosek strony kontraktu niezależne laboratorium, które nie wykonywało badań kontrolnych.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Koszty badań arbitrażowych wraz ze wszystkimi kosztami ubocznymi ponosi strona, na której niekorzyść przemawia wynik badania.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Wniosek o przeprowadzenie badań arbitrażowych dotyczących zawartości wolnych przestrzeni lub wskaźnika zagęszczenia należy złożyć w ciągu 2 miesięcy od wpływu reklamacji ze strony Zamawiającego.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</w:t>
      </w:r>
      <w:r w:rsidRPr="00E10B94">
        <w:rPr>
          <w:rFonts w:ascii="Arial" w:hAnsi="Arial" w:cs="Arial"/>
        </w:rPr>
        <w:t xml:space="preserve"> Właściwości warstwy i nawierzchni oraz dopuszczalne odchyłki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>6.4.1.</w:t>
      </w:r>
      <w:r w:rsidRPr="00E10B94">
        <w:rPr>
          <w:rFonts w:ascii="Arial" w:hAnsi="Arial" w:cs="Arial"/>
        </w:rPr>
        <w:t xml:space="preserve"> Mieszanka mineralno-asfaltowa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Dopuszczalne wartości odchyłek i tolerancje zawarte są w WT-2 Nawierzchnie asfaltowe 2008 punkt 8.8.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Na etapie oceny jakości wbudowanej mieszanki mineralno-asfaltowej podaje się wartości dopuszczalne i tolerancje, w których uwzględnia się: rozrzut występujący przy pobieraniu próbek, dokładność metod badań oraz odstępstwa uwarunkowane metodą pracy.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Właściwości materiałów należy oceniać na podstawie badań pobranych próbek mieszanki mineralno-asfaltowej przed wbudowaniem (wbudowanie oznacza wykonanie warstwy asfaltowej). Wyjątkowo dopuszcza się badania próbek pobranych z wykonanej warstwy asfaltowej.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  <w:b/>
        </w:rPr>
        <w:t xml:space="preserve">6.4.2. </w:t>
      </w:r>
      <w:r w:rsidRPr="00E10B94">
        <w:rPr>
          <w:rFonts w:ascii="Arial" w:hAnsi="Arial" w:cs="Arial"/>
        </w:rPr>
        <w:t>Warstwa asfaltowa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6.4.2.1.</w:t>
      </w:r>
      <w:r w:rsidRPr="00E10B94">
        <w:rPr>
          <w:rFonts w:ascii="Arial" w:hAnsi="Arial" w:cs="Arial"/>
        </w:rPr>
        <w:t xml:space="preserve"> Grubość warstwy oraz ilość materiału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lastRenderedPageBreak/>
        <w:t>Grubość wykonanej warstwy oznaczana według PN-EN 12697-36:2005 oraz ilość wbudowanego materiału na określoną powierzchnię (dotyczy przede wszystkim cienkich warstw) mogą odbiegać od projektu o wartości podane w tablicy 7.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 wypadku określania ilości materiału na powierzchnię i średniej wartości grubości warstwy z reguły należy przyjąć za podstawę cały odcinek budowy. In</w:t>
      </w:r>
      <w:r w:rsidR="00D352B5">
        <w:rPr>
          <w:rFonts w:ascii="Arial" w:hAnsi="Arial" w:cs="Arial"/>
        </w:rPr>
        <w:t>spektor Nadzoru</w:t>
      </w:r>
      <w:r w:rsidRPr="00E10B94">
        <w:rPr>
          <w:rFonts w:ascii="Arial" w:hAnsi="Arial" w:cs="Arial"/>
        </w:rPr>
        <w:t xml:space="preserve"> ma prawo sprawdzać odcinki częściowe. Odcinek częściowy powinien zawierać co najmniej jedną dzienną działkę roboczą. Do odcinka częściowego obowiązują te same wymagania jak do odcinka budowy.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 grubość warstwy lub warstw przyjmuje się średnią arytmetyczną wszystkich pojedynczych oznaczeń grubości warstwy na całym odcinku budowy lub odcinku częściowym.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ab/>
      </w:r>
      <w:r w:rsidRPr="00D352B5">
        <w:rPr>
          <w:rFonts w:ascii="Arial" w:hAnsi="Arial" w:cs="Arial"/>
          <w:b/>
        </w:rPr>
        <w:t>Tablica 7.</w:t>
      </w:r>
      <w:r w:rsidRPr="00E10B94">
        <w:rPr>
          <w:rFonts w:ascii="Arial" w:hAnsi="Arial" w:cs="Arial"/>
        </w:rPr>
        <w:tab/>
        <w:t>Dopuszczalne odchyłki grubości warstwy oraz ilości materiału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na określonej powierzchni, [%]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9"/>
        <w:gridCol w:w="2989"/>
      </w:tblGrid>
      <w:tr w:rsidR="0065609C" w:rsidRPr="00E10B94" w:rsidTr="00BA28B2">
        <w:tc>
          <w:tcPr>
            <w:tcW w:w="662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Warunki oceny</w:t>
            </w:r>
          </w:p>
        </w:tc>
        <w:tc>
          <w:tcPr>
            <w:tcW w:w="31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Warstwa asfaltowa AC</w:t>
            </w:r>
            <w:r w:rsidRPr="00E10B94">
              <w:rPr>
                <w:rFonts w:ascii="Arial" w:hAnsi="Arial" w:cs="Arial"/>
                <w:vertAlign w:val="superscript"/>
              </w:rPr>
              <w:t>a)</w:t>
            </w:r>
          </w:p>
        </w:tc>
      </w:tr>
      <w:tr w:rsidR="0065609C" w:rsidRPr="00E10B94" w:rsidTr="00BA28B2">
        <w:tc>
          <w:tcPr>
            <w:tcW w:w="662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 – Średnia z wielu oznaczeń grubości oraz ilości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1. – duży odcinek budowy, powierzchnia większa niż </w:t>
            </w:r>
            <w:smartTag w:uri="urn:schemas-microsoft-com:office:smarttags" w:element="metricconverter">
              <w:smartTagPr>
                <w:attr w:name="ProductID" w:val="6000 m2"/>
              </w:smartTagPr>
              <w:r w:rsidRPr="00E10B94">
                <w:rPr>
                  <w:rFonts w:ascii="Arial" w:hAnsi="Arial" w:cs="Arial"/>
                </w:rPr>
                <w:t>6000 m</w:t>
              </w:r>
              <w:r w:rsidRPr="00E10B94">
                <w:rPr>
                  <w:rFonts w:ascii="Arial" w:hAnsi="Arial" w:cs="Arial"/>
                  <w:vertAlign w:val="superscript"/>
                </w:rPr>
                <w:t>2</w:t>
              </w:r>
            </w:smartTag>
            <w:r w:rsidRPr="00E10B94">
              <w:rPr>
                <w:rFonts w:ascii="Arial" w:hAnsi="Arial" w:cs="Arial"/>
              </w:rPr>
              <w:t xml:space="preserve"> lub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     – droga ograniczona krawężnikami, powierzchnia większa niż </w:t>
            </w:r>
            <w:smartTag w:uri="urn:schemas-microsoft-com:office:smarttags" w:element="metricconverter">
              <w:smartTagPr>
                <w:attr w:name="ProductID" w:val="1000 m2"/>
              </w:smartTagPr>
              <w:r w:rsidRPr="00E10B94">
                <w:rPr>
                  <w:rFonts w:ascii="Arial" w:hAnsi="Arial" w:cs="Arial"/>
                </w:rPr>
                <w:t>1000 m</w:t>
              </w:r>
              <w:r w:rsidRPr="00E10B94">
                <w:rPr>
                  <w:rFonts w:ascii="Arial" w:hAnsi="Arial" w:cs="Arial"/>
                  <w:vertAlign w:val="superscript"/>
                </w:rPr>
                <w:t>2</w:t>
              </w:r>
            </w:smartTag>
            <w:r w:rsidRPr="00E10B94">
              <w:rPr>
                <w:rFonts w:ascii="Arial" w:hAnsi="Arial" w:cs="Arial"/>
              </w:rPr>
              <w:t xml:space="preserve"> lub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 xml:space="preserve">2.  –  mały odcinek budowy </w:t>
            </w:r>
          </w:p>
        </w:tc>
        <w:tc>
          <w:tcPr>
            <w:tcW w:w="31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≤ 10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≤ 15</w:t>
            </w:r>
          </w:p>
        </w:tc>
      </w:tr>
      <w:tr w:rsidR="0065609C" w:rsidRPr="00E10B94" w:rsidTr="00BA28B2">
        <w:tc>
          <w:tcPr>
            <w:tcW w:w="6629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 – Pojedyncze oznaczenie grubości</w:t>
            </w:r>
          </w:p>
        </w:tc>
        <w:tc>
          <w:tcPr>
            <w:tcW w:w="3118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≤ 15</w:t>
            </w:r>
          </w:p>
        </w:tc>
      </w:tr>
      <w:tr w:rsidR="0065609C" w:rsidRPr="00E10B94" w:rsidTr="00BA28B2">
        <w:tc>
          <w:tcPr>
            <w:tcW w:w="9747" w:type="dxa"/>
            <w:gridSpan w:val="2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  <w:vertAlign w:val="superscript"/>
              </w:rPr>
              <w:t>a)</w:t>
            </w:r>
            <w:r w:rsidRPr="00E10B94">
              <w:rPr>
                <w:rFonts w:ascii="Arial" w:hAnsi="Arial" w:cs="Arial"/>
              </w:rPr>
              <w:t xml:space="preserve"> w wypadku budowy dwuetapowej, tzn. gdy warstwa ścieralna jest układana z opóźnieniem, wartość z wiersza B odpowiednio obowiązuje; w pierwszym etapie budowy do górnej warstwy nawierzchni obowiązuje wartość 25%, a do łącznej grubości warstw etapu 1 ÷ 15%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6.4.2.2.</w:t>
      </w:r>
      <w:r w:rsidRPr="00E10B94">
        <w:rPr>
          <w:rFonts w:ascii="Arial" w:hAnsi="Arial" w:cs="Arial"/>
        </w:rPr>
        <w:t xml:space="preserve"> Wskaźnik zagęszczenia warstwy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Zagęszczenie wykonanej warstwy, wyrażone wskaźnikiem zagęszczenia oraz zawartością wolnych przestrzeni, nie może przekroczyć wartości dopuszczalnych podanych w tablicy 5. Dotyczy to każdego pojedynczego oznaczenia danej właściwości. Badanie zagęszczenia wykonać wg PN-EN-12697:10:2008 i PN-EN 12697-30:2007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Określenie gęstości objętościowej należy wykonywać według PN-EN 12697-6:2008.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6.4.2.3.</w:t>
      </w:r>
      <w:r w:rsidRPr="00E10B94">
        <w:rPr>
          <w:rFonts w:ascii="Arial" w:hAnsi="Arial" w:cs="Arial"/>
        </w:rPr>
        <w:t xml:space="preserve"> Zawartość wolnych przestrzeni w nawierzchni</w:t>
      </w:r>
      <w:r w:rsidR="00D352B5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Zawartość wolnych przestrzeni w próbce Marshalla z mieszanki mineralno-asfaltowej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>lub wyjątkowo powtórnie rozgrzanej próbki pobranej z nawierzchni,  nie może wykroczyć poza wartości dopuszczalne podane w p. 5.2 o więcej niż 2,0 %(v/v).</w:t>
      </w:r>
    </w:p>
    <w:p w:rsidR="00D352B5" w:rsidRPr="00E10B94" w:rsidRDefault="00D352B5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lastRenderedPageBreak/>
        <w:t>6.4.2.4.</w:t>
      </w:r>
      <w:r w:rsidRPr="00E10B94">
        <w:rPr>
          <w:rFonts w:ascii="Arial" w:hAnsi="Arial" w:cs="Arial"/>
        </w:rPr>
        <w:t xml:space="preserve"> Spadki poprzeczne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Spadki poprzeczne nawierzchni należy badać nie rzadziej niż co </w:t>
      </w:r>
      <w:smartTag w:uri="urn:schemas-microsoft-com:office:smarttags" w:element="metricconverter">
        <w:smartTagPr>
          <w:attr w:name="ProductID" w:val="20 m"/>
        </w:smartTagPr>
        <w:r w:rsidRPr="00E10B94">
          <w:rPr>
            <w:rFonts w:ascii="Arial" w:hAnsi="Arial" w:cs="Arial"/>
          </w:rPr>
          <w:t>20 m</w:t>
        </w:r>
      </w:smartTag>
      <w:r w:rsidRPr="00E10B94">
        <w:rPr>
          <w:rFonts w:ascii="Arial" w:hAnsi="Arial" w:cs="Arial"/>
        </w:rPr>
        <w:t xml:space="preserve"> oraz w punktach głównych łuków poziomych.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Spadki poprzeczne powinny być zgodne z dokumentacją projektową, z tolerancją ± 0,5%.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6.4.2.5.</w:t>
      </w:r>
      <w:r w:rsidRPr="00E10B94">
        <w:rPr>
          <w:rFonts w:ascii="Arial" w:hAnsi="Arial" w:cs="Arial"/>
        </w:rPr>
        <w:t xml:space="preserve"> Równość podłużna i poprzeczna</w:t>
      </w:r>
      <w:r w:rsidR="00D352B5">
        <w:rPr>
          <w:rFonts w:ascii="Arial" w:hAnsi="Arial" w:cs="Arial"/>
        </w:rPr>
        <w:t>.</w:t>
      </w:r>
      <w:r w:rsidRPr="00E10B94">
        <w:rPr>
          <w:rFonts w:ascii="Arial" w:hAnsi="Arial" w:cs="Arial"/>
        </w:rPr>
        <w:t xml:space="preserve"> 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Do oceny równości podłużnej warstwy wiążącej nawierzchni dróg należy stosować metodę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z wykorzystaniem łaty 4-metrowej i klina lub metody równoważnej użyciu łaty i klina, mierząc wysokość prześwitu w połowie długości łaty. Pomiar wykonuje się nie rzadziej niż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 xml:space="preserve">. Wymagana równość podłużna jest określona w rozporządzeniu dotyczącym warunków technicznych, jakim powinny odpowiadać drogi publiczne – załącznik nr 6 pkt. 2.3. Maksymalna nierówność nie może przekraczać </w:t>
      </w:r>
      <w:smartTag w:uri="urn:schemas-microsoft-com:office:smarttags" w:element="metricconverter">
        <w:smartTagPr>
          <w:attr w:name="ProductID" w:val="8 mm"/>
        </w:smartTagPr>
        <w:r w:rsidRPr="00E10B94">
          <w:rPr>
            <w:rFonts w:ascii="Arial" w:hAnsi="Arial" w:cs="Arial"/>
          </w:rPr>
          <w:t>8 mm</w:t>
        </w:r>
      </w:smartTag>
      <w:r w:rsidRPr="00E10B94">
        <w:rPr>
          <w:rFonts w:ascii="Arial" w:hAnsi="Arial" w:cs="Arial"/>
        </w:rPr>
        <w:t xml:space="preserve">, a dla 95% wyników nierówność nie może przekraczać </w:t>
      </w:r>
      <w:smartTag w:uri="urn:schemas-microsoft-com:office:smarttags" w:element="metricconverter">
        <w:smartTagPr>
          <w:attr w:name="ProductID" w:val="7 mm"/>
        </w:smartTagPr>
        <w:r w:rsidRPr="00E10B94">
          <w:rPr>
            <w:rFonts w:ascii="Arial" w:hAnsi="Arial" w:cs="Arial"/>
          </w:rPr>
          <w:t>7 mm</w:t>
        </w:r>
      </w:smartTag>
      <w:r w:rsidRPr="00E10B94">
        <w:rPr>
          <w:rFonts w:ascii="Arial" w:hAnsi="Arial" w:cs="Arial"/>
        </w:rPr>
        <w:tab/>
      </w:r>
      <w:r w:rsidRPr="00E10B94">
        <w:rPr>
          <w:rFonts w:ascii="Arial" w:hAnsi="Arial" w:cs="Arial"/>
        </w:rPr>
        <w:tab/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Do oceny równości poprzecznej warstwy wiążącej nawierzchni dróg wszystkich klas technicznych należy stosować metodę z wykorzystaniem łaty 4-metrowej i klina lub metody równoważnej użyciu łaty i klina. Pomiar należy wykonywać w kierunku prostopadłym do osi jezdni, na każdym ocenianym pasie ruchu, nie rzadziej niż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>. Wymagana równość poprzeczna jest określona w rozporządzeniu dotyczącym warunków technicznych, jakim powinny odpowiadać drogi publiczne.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6.4.2.6.</w:t>
      </w:r>
      <w:r w:rsidRPr="00E10B94">
        <w:rPr>
          <w:rFonts w:ascii="Arial" w:hAnsi="Arial" w:cs="Arial"/>
        </w:rPr>
        <w:t xml:space="preserve"> Pozostałe właściwości warstwy asfaltowej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Szerokość warstwy, mierzona 10 razy na </w:t>
      </w:r>
      <w:smartTag w:uri="urn:schemas-microsoft-com:office:smarttags" w:element="metricconverter">
        <w:smartTagPr>
          <w:attr w:name="ProductID" w:val="1 km"/>
        </w:smartTagPr>
        <w:r w:rsidRPr="00E10B94">
          <w:rPr>
            <w:rFonts w:ascii="Arial" w:hAnsi="Arial" w:cs="Arial"/>
          </w:rPr>
          <w:t>1 km</w:t>
        </w:r>
      </w:smartTag>
      <w:r w:rsidRPr="00E10B94">
        <w:rPr>
          <w:rFonts w:ascii="Arial" w:hAnsi="Arial" w:cs="Arial"/>
        </w:rPr>
        <w:t xml:space="preserve"> każdej jezdni, nie może się różnić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od szerokości projektowanej o więcej niż ± </w:t>
      </w:r>
      <w:smartTag w:uri="urn:schemas-microsoft-com:office:smarttags" w:element="metricconverter">
        <w:smartTagPr>
          <w:attr w:name="ProductID" w:val="5 cm"/>
        </w:smartTagPr>
        <w:r w:rsidRPr="00E10B94">
          <w:rPr>
            <w:rFonts w:ascii="Arial" w:hAnsi="Arial" w:cs="Arial"/>
          </w:rPr>
          <w:t>5 cm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Rzędne wysokościowe, mierzone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 xml:space="preserve"> na prostych i co </w:t>
      </w:r>
      <w:smartTag w:uri="urn:schemas-microsoft-com:office:smarttags" w:element="metricconverter">
        <w:smartTagPr>
          <w:attr w:name="ProductID" w:val="10 m"/>
        </w:smartTagPr>
        <w:r w:rsidRPr="00E10B94">
          <w:rPr>
            <w:rFonts w:ascii="Arial" w:hAnsi="Arial" w:cs="Arial"/>
          </w:rPr>
          <w:t>10 m</w:t>
        </w:r>
      </w:smartTag>
      <w:r w:rsidRPr="00E10B94">
        <w:rPr>
          <w:rFonts w:ascii="Arial" w:hAnsi="Arial" w:cs="Arial"/>
        </w:rPr>
        <w:t xml:space="preserve"> na osi podłużnej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i krawędziach, powinny być zgodne z dokumentacją projektową z dopuszczalną tolerancją ± </w:t>
      </w:r>
      <w:smartTag w:uri="urn:schemas-microsoft-com:office:smarttags" w:element="metricconverter">
        <w:smartTagPr>
          <w:attr w:name="ProductID" w:val="1 cm"/>
        </w:smartTagPr>
        <w:r w:rsidRPr="00E10B94">
          <w:rPr>
            <w:rFonts w:ascii="Arial" w:hAnsi="Arial" w:cs="Arial"/>
          </w:rPr>
          <w:t>1 cm</w:t>
        </w:r>
      </w:smartTag>
      <w:r w:rsidRPr="00E10B94">
        <w:rPr>
          <w:rFonts w:ascii="Arial" w:hAnsi="Arial" w:cs="Arial"/>
        </w:rPr>
        <w:t>, przy czym co najmniej 95% wykonanych pomiarów nie może przekraczać przedziału dopuszczalnych odchyleń.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Ukształtowanie osi w planie, mierzone co </w:t>
      </w:r>
      <w:smartTag w:uri="urn:schemas-microsoft-com:office:smarttags" w:element="metricconverter">
        <w:smartTagPr>
          <w:attr w:name="ProductID" w:val="100 m"/>
        </w:smartTagPr>
        <w:r w:rsidRPr="00E10B94">
          <w:rPr>
            <w:rFonts w:ascii="Arial" w:hAnsi="Arial" w:cs="Arial"/>
          </w:rPr>
          <w:t>100 m</w:t>
        </w:r>
      </w:smartTag>
      <w:r w:rsidRPr="00E10B94">
        <w:rPr>
          <w:rFonts w:ascii="Arial" w:hAnsi="Arial" w:cs="Arial"/>
        </w:rPr>
        <w:t xml:space="preserve">, nie powinno różnić się od dokumentacji projektowej o ± </w:t>
      </w:r>
      <w:smartTag w:uri="urn:schemas-microsoft-com:office:smarttags" w:element="metricconverter">
        <w:smartTagPr>
          <w:attr w:name="ProductID" w:val="5 cm"/>
        </w:smartTagPr>
        <w:r w:rsidRPr="00E10B94">
          <w:rPr>
            <w:rFonts w:ascii="Arial" w:hAnsi="Arial" w:cs="Arial"/>
          </w:rPr>
          <w:t>5 cm</w:t>
        </w:r>
      </w:smartTag>
      <w:r w:rsidRPr="00E10B94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Złącza podłużne i poprzeczne, sprawdzone wizualnie, powinny być równe i związane, wykonane w linii prostej, równolegle lub prostopadle do osi drogi. Przylegające warstwy powinny być w jednym poziomie.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Wygląd zewnętrzny warstwy, sprawdzony wizualnie, powinien być jednorodny, bez spękań, deformacji, plam i wykruszeń.</w:t>
      </w:r>
      <w:bookmarkStart w:id="9" w:name="_Toc237920705"/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7. </w:t>
      </w:r>
      <w:bookmarkEnd w:id="9"/>
      <w:r w:rsidRPr="00D352B5">
        <w:rPr>
          <w:rFonts w:ascii="Arial" w:hAnsi="Arial" w:cs="Arial"/>
          <w:b/>
        </w:rPr>
        <w:t>OBMIAR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7.1.</w:t>
      </w:r>
      <w:r w:rsidRPr="00E10B94">
        <w:rPr>
          <w:rFonts w:ascii="Arial" w:hAnsi="Arial" w:cs="Arial"/>
        </w:rPr>
        <w:t xml:space="preserve"> Ogólne zasady obmiaru robót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obmiaru robót podano w SSTWiORB  D-M-00.00.00 „Wymagania ogólne”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>pkt 7.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lastRenderedPageBreak/>
        <w:t>7.2.</w:t>
      </w:r>
      <w:r w:rsidRPr="00E10B94">
        <w:rPr>
          <w:rFonts w:ascii="Arial" w:hAnsi="Arial" w:cs="Arial"/>
        </w:rPr>
        <w:t xml:space="preserve"> Jednostka obmiarowa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Jednostką obmiarową jest m</w:t>
      </w:r>
      <w:r w:rsidRPr="00E10B94">
        <w:rPr>
          <w:rFonts w:ascii="Arial" w:hAnsi="Arial" w:cs="Arial"/>
          <w:vertAlign w:val="superscript"/>
        </w:rPr>
        <w:t>2</w:t>
      </w:r>
      <w:r w:rsidRPr="00E10B94">
        <w:rPr>
          <w:rFonts w:ascii="Arial" w:hAnsi="Arial" w:cs="Arial"/>
        </w:rPr>
        <w:t xml:space="preserve"> (metr kwadratowy) wykonanej warstwy z betonu asfaltowego (AC).</w:t>
      </w:r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 </w:t>
      </w:r>
      <w:bookmarkStart w:id="10" w:name="_Toc237920706"/>
      <w:r w:rsidRPr="00D352B5">
        <w:rPr>
          <w:rFonts w:ascii="Arial" w:hAnsi="Arial" w:cs="Arial"/>
          <w:b/>
        </w:rPr>
        <w:t xml:space="preserve">8. </w:t>
      </w:r>
      <w:bookmarkEnd w:id="10"/>
      <w:r w:rsidRPr="00D352B5">
        <w:rPr>
          <w:rFonts w:ascii="Arial" w:hAnsi="Arial" w:cs="Arial"/>
          <w:b/>
        </w:rPr>
        <w:t>ODBIÓR ROBÓT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zasady odbioru robót podano w SSTWiORB  D-M-00.00.00 „Wymagania ogólne”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 xml:space="preserve"> pkt 8.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Roboty uznaje się za wykonane zgodnie z dokumentacją projektową, ST i wymaganiami Inżyniera/Kierownika projektu, jeżeli wszystkie pomiary i badania z zachowaniem tolerancji według pkt</w:t>
      </w:r>
      <w:r w:rsidR="00D352B5">
        <w:rPr>
          <w:rFonts w:ascii="Arial" w:hAnsi="Arial" w:cs="Arial"/>
        </w:rPr>
        <w:t>-</w:t>
      </w:r>
      <w:r w:rsidRPr="00E10B94">
        <w:rPr>
          <w:rFonts w:ascii="Arial" w:hAnsi="Arial" w:cs="Arial"/>
        </w:rPr>
        <w:t>u 6 dały wyniki pozytywne.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Jeśli warunki umowy przewidują dokonywanie potrąceń, to Zamawiający może w razie niedotrzymania wartości dopuszczalnych dokonać potrąceń według zasad określonych</w:t>
      </w:r>
      <w:r w:rsidR="00D352B5">
        <w:rPr>
          <w:rFonts w:ascii="Arial" w:hAnsi="Arial" w:cs="Arial"/>
        </w:rPr>
        <w:br/>
      </w:r>
      <w:r w:rsidRPr="00E10B94">
        <w:rPr>
          <w:rFonts w:ascii="Arial" w:hAnsi="Arial" w:cs="Arial"/>
        </w:rPr>
        <w:t>w WT-2  pkt 9.2.</w:t>
      </w:r>
      <w:bookmarkStart w:id="11" w:name="_Toc237920707"/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9. </w:t>
      </w:r>
      <w:bookmarkEnd w:id="11"/>
      <w:r w:rsidRPr="00D352B5">
        <w:rPr>
          <w:rFonts w:ascii="Arial" w:hAnsi="Arial" w:cs="Arial"/>
          <w:b/>
        </w:rPr>
        <w:t>PODSTAWA PŁATNOŚCI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9.1.</w:t>
      </w:r>
      <w:r w:rsidRPr="00E10B94">
        <w:rPr>
          <w:rFonts w:ascii="Arial" w:hAnsi="Arial" w:cs="Arial"/>
        </w:rPr>
        <w:t xml:space="preserve"> Ogólne ustalenia dotyczące podstawy płatności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Ogólne ustalenia dotyczące podstawy płatności podano w SSTWiORB D-M-00.00.00 „Wymagania ogólne” pkt 9.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9.2.</w:t>
      </w:r>
      <w:r w:rsidRPr="00E10B94">
        <w:rPr>
          <w:rFonts w:ascii="Arial" w:hAnsi="Arial" w:cs="Arial"/>
        </w:rPr>
        <w:t xml:space="preserve"> Cena jednostki obmiarowej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E10B94">
          <w:rPr>
            <w:rFonts w:ascii="Arial" w:hAnsi="Arial" w:cs="Arial"/>
          </w:rPr>
          <w:t>1 m</w:t>
        </w:r>
        <w:r w:rsidRPr="00E10B94">
          <w:rPr>
            <w:rFonts w:ascii="Arial" w:hAnsi="Arial" w:cs="Arial"/>
            <w:vertAlign w:val="superscript"/>
          </w:rPr>
          <w:t>2</w:t>
        </w:r>
      </w:smartTag>
      <w:r w:rsidRPr="00E10B94">
        <w:rPr>
          <w:rFonts w:ascii="Arial" w:hAnsi="Arial" w:cs="Arial"/>
        </w:rPr>
        <w:t xml:space="preserve"> warstwy  z betonu asfaltowego (AC) obejmuje: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prace pomiarowe i roboty przygotowawcze,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oznakowanie robót,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oczyszczenie i skropienie podłoża,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dostarczenie materiałów i sprzętu,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opracowanie recepty laboratoryjnej,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wykonanie próby technologicznej i odcinka próbnego,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wyprodukowanie mieszanki betonu asfaltowego i jej transport na miejsce wbudowania,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posmarowanie lepiszczem lub pokrycie taśmą asfaltową krawędzi urządzeń obcych</w:t>
      </w:r>
      <w:r>
        <w:rPr>
          <w:rFonts w:ascii="Arial" w:hAnsi="Arial" w:cs="Arial"/>
        </w:rPr>
        <w:br/>
      </w:r>
      <w:r w:rsidR="0065609C" w:rsidRPr="00E10B94">
        <w:rPr>
          <w:rFonts w:ascii="Arial" w:hAnsi="Arial" w:cs="Arial"/>
        </w:rPr>
        <w:t>i krawężników,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rozłożenie i zagęszczenie mieszanki betonu asfaltowego,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obcięcie krawędzi i posmarowanie lepiszczem,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przeprowadzenie pomiarów i badań  wymaganych w specyfikacji technicznej,</w:t>
      </w:r>
    </w:p>
    <w:p w:rsidR="0065609C" w:rsidRPr="00E10B94" w:rsidRDefault="00D352B5" w:rsidP="00E10B94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odwiezienie sprzętu.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lastRenderedPageBreak/>
        <w:t>9.3.</w:t>
      </w:r>
      <w:r w:rsidRPr="00E10B94">
        <w:rPr>
          <w:rFonts w:ascii="Arial" w:hAnsi="Arial" w:cs="Arial"/>
        </w:rPr>
        <w:t xml:space="preserve"> Sposób rozliczenia robót tymczasowych i prac towarzyszących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Cena wykonania robót określonych niniejszą SSTWiORB obejmuje: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roboty tymczasowe, które są potrzebne do wykonania robót podstawowych, ale nie są przekazywane Zamawiającemu i są usuwane po wykonaniu robót podstawowych,</w:t>
      </w:r>
    </w:p>
    <w:p w:rsidR="0065609C" w:rsidRPr="00E10B94" w:rsidRDefault="00D352B5" w:rsidP="00E10B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65609C" w:rsidRPr="00E10B94">
        <w:rPr>
          <w:rFonts w:ascii="Arial" w:hAnsi="Arial" w:cs="Arial"/>
        </w:rPr>
        <w:t>prace towarzyszące, które są niezbędne do wykonania robót podstawowych, niezaliczane do robót tymczasowych, jak geodezyjne wytyczenie robót itd.</w:t>
      </w:r>
      <w:bookmarkStart w:id="12" w:name="_Toc237920708"/>
    </w:p>
    <w:p w:rsidR="0065609C" w:rsidRPr="00D352B5" w:rsidRDefault="0065609C" w:rsidP="00E10B94">
      <w:pPr>
        <w:jc w:val="both"/>
        <w:rPr>
          <w:rFonts w:ascii="Arial" w:hAnsi="Arial" w:cs="Arial"/>
          <w:b/>
        </w:rPr>
      </w:pPr>
      <w:r w:rsidRPr="00D352B5">
        <w:rPr>
          <w:rFonts w:ascii="Arial" w:hAnsi="Arial" w:cs="Arial"/>
          <w:b/>
        </w:rPr>
        <w:t xml:space="preserve">10. </w:t>
      </w:r>
      <w:bookmarkEnd w:id="12"/>
      <w:r w:rsidRPr="00D352B5">
        <w:rPr>
          <w:rFonts w:ascii="Arial" w:hAnsi="Arial" w:cs="Arial"/>
          <w:b/>
        </w:rPr>
        <w:t>PRZEPISY ZWIĄZANE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D352B5">
        <w:rPr>
          <w:rFonts w:ascii="Arial" w:hAnsi="Arial" w:cs="Arial"/>
          <w:b/>
        </w:rPr>
        <w:t>10.1.</w:t>
      </w:r>
      <w:r w:rsidRPr="00E10B94">
        <w:rPr>
          <w:rFonts w:ascii="Arial" w:hAnsi="Arial" w:cs="Arial"/>
        </w:rPr>
        <w:t xml:space="preserve"> Przepisy techniczno budowlane</w:t>
      </w:r>
      <w:r w:rsidR="00D352B5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Rozporządzenie Ministra Transportu i Gospodarki Morskiej z dnia 2 marca 1999 r. w sprawie warunków technicznych, jakim powinny odpowiadać drogi publiczne i ich usytuowanie (Dz.U. nr 43, poz. 430)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121E9">
        <w:rPr>
          <w:rFonts w:ascii="Arial" w:hAnsi="Arial" w:cs="Arial"/>
          <w:b/>
        </w:rPr>
        <w:t>10.2.</w:t>
      </w:r>
      <w:r w:rsidRPr="00E10B94">
        <w:rPr>
          <w:rFonts w:ascii="Arial" w:hAnsi="Arial" w:cs="Arial"/>
        </w:rPr>
        <w:t xml:space="preserve"> Normy</w:t>
      </w:r>
      <w:r w:rsidR="00F121E9">
        <w:rPr>
          <w:rFonts w:ascii="Arial" w:hAnsi="Arial" w:cs="Arial"/>
        </w:rPr>
        <w:t>.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534"/>
        <w:gridCol w:w="1842"/>
        <w:gridCol w:w="7371"/>
      </w:tblGrid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196-21:1997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Metody badania cementu – Oznaczanie zawartości chlorków, dwutlenku węgla i alkaliów w cemencie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459-2:2003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Wapno budowlane – Część 2: Metody badań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932-3:1999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podstawowych właściwości kruszyw – Procedura i terminologia uproszczonego opisu petrograficznego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933-1:2000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Oznaczanie składu ziarnowego – Metoda przesiewania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933-3:1999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Oznaczanie kształtu ziaren za pomocą wskaźnika płaskości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933-4:2008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Część 4: Oznaczanie kształtu ziaren – Wskaźnik kształtu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933-5:2000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Oznaczanie procentowej zawartości ziaren o powierzchniach powstałych w wyniku przekruszenia lub łamania kruszyw grubych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933-6:2002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Część 6: Ocena właściwości powierzchni – Wskaźnik przepływu kruszywa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933-9:2009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Ocena zawartości drobnych cząstek – Badania błękitem metylenowym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  <w:r w:rsidR="00F121E9">
              <w:rPr>
                <w:rFonts w:ascii="Arial" w:hAnsi="Arial" w:cs="Arial"/>
              </w:rPr>
              <w:t>0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933-10:2009</w:t>
            </w:r>
          </w:p>
        </w:tc>
        <w:tc>
          <w:tcPr>
            <w:tcW w:w="7371" w:type="dxa"/>
          </w:tcPr>
          <w:p w:rsidR="0065609C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geometrycznych właściwości kruszyw – Część 10: Ocena zawartości drobnych cząstek – Uziarnienie wypełniaczy (przesiewanie</w:t>
            </w:r>
            <w:r w:rsidR="00F121E9">
              <w:rPr>
                <w:rFonts w:ascii="Arial" w:hAnsi="Arial" w:cs="Arial"/>
              </w:rPr>
              <w:br/>
            </w:r>
            <w:r w:rsidRPr="00E10B94">
              <w:rPr>
                <w:rFonts w:ascii="Arial" w:hAnsi="Arial" w:cs="Arial"/>
              </w:rPr>
              <w:t>w strumieniu powietrza)</w:t>
            </w:r>
          </w:p>
          <w:p w:rsidR="00F121E9" w:rsidRPr="00E10B94" w:rsidRDefault="00F121E9" w:rsidP="00F121E9">
            <w:pPr>
              <w:jc w:val="both"/>
              <w:rPr>
                <w:rFonts w:ascii="Arial" w:hAnsi="Arial" w:cs="Arial"/>
              </w:rPr>
            </w:pP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1097-2:2010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Metody oznaczania odporności na rozdrabnianie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1</w:t>
            </w:r>
            <w:r w:rsidR="00F121E9">
              <w:rPr>
                <w:rFonts w:ascii="Arial" w:hAnsi="Arial" w:cs="Arial"/>
              </w:rPr>
              <w:t>2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1097-3:2000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Oznaczanie gęstości nasypowej i jamistości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1097-4:2008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4: Oznaczanie pustych przestrzeni suchego, zagęszczonego wypełniacza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1097-5:2008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5: Oznaczanie zawartości wody przez suszenie w suszarce z wentylacją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1097-6:2002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–Część 6: Oznaczanie gęstości ziaren i nasiąkliwości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1097-7:2008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7: Oznaczanie gęstości wypełniacza – Metoda piknometryczna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1097-8:2009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mechanicznych i fizycznych właściwości kruszyw – Część 8: Oznaczanie polerowalności kamienia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1367-1:2007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właściwości cieplnych i odporności kruszyw na działanie czynników atmosferycznych – Część 1: Oznaczanie mrozoodporności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1367-3:2002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właściwości cieplnych i odporności kruszyw na działanie czynników atmosferycznych – Część 3: Badanie bazaltowej zgorzeli słonecznej metodą gotowania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1426:2009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penetracji igłą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65609C" w:rsidRPr="00E10B94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1427:2009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temperatury mięknienia – Metoda Pierścień i Kula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65609C" w:rsidRPr="00E10B94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1428:2009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zawartości wody w emulsjach asfaltowych – Metoda destylacji azeotropowej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1429:2009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pozostałości na sicie emulsji asfaltowych oraz trwałości podczas magazynowania metodą pozostałości na sicie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1744-1:2010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chemicznych właściwości kruszyw – Analiza chemiczna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1744-4:2008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chemicznych właściwości kruszyw – Część 4: Oznaczanie podatności wypełniaczy do mieszanek mineralno-asfaltowych na działanie wody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12591:2010</w:t>
            </w:r>
          </w:p>
          <w:p w:rsidR="00F121E9" w:rsidRPr="00E10B94" w:rsidRDefault="00F121E9" w:rsidP="00E10B9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Wymagania dla asfaltów drogowych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rozpuszczalności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12593:2009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temperatury łamliwości Fraassa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12606-1:2009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zawartości parafiny – Część 1: Metoda destylacyjna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12607-1:2009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12607-3:2010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produkty asfaltowe – Oznaczanie odporności na twardnienie pod wpływem ciepła i powietrza – Część 1: Metoda RTFOT</w:t>
            </w:r>
            <w:r w:rsidR="00F121E9">
              <w:rPr>
                <w:rFonts w:ascii="Arial" w:hAnsi="Arial" w:cs="Arial"/>
              </w:rPr>
              <w:t xml:space="preserve"> i </w:t>
            </w:r>
          </w:p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Jw. Część 3: Metoda RFT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12697-6:2008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6: Oznaczanie gęstości objętościowej metodą hydrostatyczną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12697-8:2005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8: Oznaczanie zawartości wolnej przestrzeni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12697-11:2009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11: Określenie powiązania pomiędzy kruszywem i asfaltem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12697-12:2008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12: Określanie wrażliwości na wodę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12697-13:2005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13: Pomiar temperatury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12697-18:2007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18: Spływanie lepiszcza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</w:t>
            </w:r>
            <w:r w:rsidR="00F121E9">
              <w:rPr>
                <w:rFonts w:ascii="Arial" w:hAnsi="Arial" w:cs="Arial"/>
              </w:rPr>
              <w:t>7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12697-22:2004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22: Koleinowanie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3</w:t>
            </w:r>
            <w:r w:rsidR="00F121E9">
              <w:rPr>
                <w:rFonts w:ascii="Arial" w:hAnsi="Arial" w:cs="Arial"/>
              </w:rPr>
              <w:t>8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12697-27:2005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27: Pobieranie próbek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F121E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12697-36:2005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Metody badań mieszanek mineralno-asfaltowych na gorąco – Część 36: Oznaczanie grubości nawierzchni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</w:t>
            </w:r>
            <w:r w:rsidR="00F121E9">
              <w:rPr>
                <w:rFonts w:ascii="Arial" w:hAnsi="Arial" w:cs="Arial"/>
              </w:rPr>
              <w:t>0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12846:2009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czasu wypływu emulsji asfaltowych lepkościomierzem wypływowym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4</w:t>
            </w:r>
            <w:r w:rsidR="00F121E9">
              <w:rPr>
                <w:rFonts w:ascii="Arial" w:hAnsi="Arial" w:cs="Arial"/>
              </w:rPr>
              <w:t>1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12847:2009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sedymentacji emulsji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65609C" w:rsidP="00F121E9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lastRenderedPageBreak/>
              <w:t>4</w:t>
            </w:r>
            <w:r w:rsidR="00F121E9">
              <w:rPr>
                <w:rFonts w:ascii="Arial" w:hAnsi="Arial" w:cs="Arial"/>
              </w:rPr>
              <w:t>2</w:t>
            </w:r>
            <w:r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12850:2009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wartości pH emulsji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13043:2004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Kruszywa do mieszanek bitumicznych i powierzchniowych utrwaleń stosowanych na drogach, lotniskach i innych powierzchniach przeznaczonych do ruchu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13074:2009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lepiszczy z emulsji asfaltowych przez odparowanie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13075-1:2009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Badanie rozpadu – Część 1: Oznaczanie indeksu rozpadu kationowych emulsji asfaltowych, metoda z wypełniaczem mineralnym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13108-1:2008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Wymagania – Część 1: Beton asfaltowy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13108-20:2008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Mieszanki mineralno-asfaltowe – Wymagania – Część 20: Badanie typu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13179-1:2002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kruszyw wypełniających stosowanych do mieszanek bitumicznych – Część 1: Badanie metodą Pierścienia i Kuli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13179-2:2002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Badania kruszyw wypełniających stosowanych do mieszanek bitumicznych – Część 2: Liczba bitumiczna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13398:2010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nawrotu sprężystego asfaltów modyfikowanych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13399:2010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odporności na magazynowanie modyfikowanych asfaltów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13587:2010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ciągliwości lepiszczy asfaltowych metodą pomiaru ciągliwości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13588:2009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kohezji lepiszczy asfaltowych metodą testu wahadłowego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13589:2008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ciągliwości modyfikowanych asfaltów – Metoda z duktylometrem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13614:2010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przyczepności emulsji bitumicznych przez zanurzenie w wodzie – Metoda z kruszywem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13703:2009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Oznaczanie energii deformacji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13808:2010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Zasady specyfikacji kationowych emulsji asfaltowych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14023:2010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Asfalty i lepiszcza asfaltowe – Zasady specyfikacji asfaltów modyfikowanych polimerami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59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14188-1:2010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Wypełniacze złączy i zalewy – Część 1: Specyfikacja zalew na gorąco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14188-2:2010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Wypełniacze złączy i zalewy – Część 2: Specyfikacja zalew na zimno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12592:2009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Przetwory naftowe – Oznaczanie temperatury zapłonu i palenia – Pomiar metodą otwartego tygla Clevelanda</w:t>
            </w:r>
          </w:p>
        </w:tc>
      </w:tr>
      <w:tr w:rsidR="0065609C" w:rsidRPr="00E10B94" w:rsidTr="00BA28B2">
        <w:tc>
          <w:tcPr>
            <w:tcW w:w="534" w:type="dxa"/>
          </w:tcPr>
          <w:p w:rsidR="0065609C" w:rsidRPr="00E10B94" w:rsidRDefault="00F121E9" w:rsidP="00E10B9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  <w:r w:rsidR="0065609C" w:rsidRPr="00E10B94">
              <w:rPr>
                <w:rFonts w:ascii="Arial" w:hAnsi="Arial" w:cs="Arial"/>
              </w:rPr>
              <w:t>.</w:t>
            </w:r>
          </w:p>
        </w:tc>
        <w:tc>
          <w:tcPr>
            <w:tcW w:w="1842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PN-EN ISO 2592</w:t>
            </w:r>
          </w:p>
        </w:tc>
        <w:tc>
          <w:tcPr>
            <w:tcW w:w="7371" w:type="dxa"/>
          </w:tcPr>
          <w:p w:rsidR="0065609C" w:rsidRPr="00E10B94" w:rsidRDefault="0065609C" w:rsidP="00E10B94">
            <w:pPr>
              <w:jc w:val="both"/>
              <w:rPr>
                <w:rFonts w:ascii="Arial" w:hAnsi="Arial" w:cs="Arial"/>
              </w:rPr>
            </w:pPr>
            <w:r w:rsidRPr="00E10B94">
              <w:rPr>
                <w:rFonts w:ascii="Arial" w:hAnsi="Arial" w:cs="Arial"/>
              </w:rPr>
              <w:t>Oznaczanie temperatury zapłonu i palenia – Metoda otwartego tygla Clevelanda</w:t>
            </w:r>
          </w:p>
        </w:tc>
      </w:tr>
    </w:tbl>
    <w:p w:rsidR="0065609C" w:rsidRPr="00E10B94" w:rsidRDefault="0065609C" w:rsidP="00E10B94">
      <w:pPr>
        <w:jc w:val="both"/>
        <w:rPr>
          <w:rFonts w:ascii="Arial" w:hAnsi="Arial" w:cs="Arial"/>
        </w:rPr>
      </w:pP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75FEE">
        <w:rPr>
          <w:rFonts w:ascii="Arial" w:hAnsi="Arial" w:cs="Arial"/>
          <w:b/>
        </w:rPr>
        <w:t>10.3.</w:t>
      </w:r>
      <w:r w:rsidRPr="00E10B94">
        <w:rPr>
          <w:rFonts w:ascii="Arial" w:hAnsi="Arial" w:cs="Arial"/>
        </w:rPr>
        <w:t xml:space="preserve"> Wymagania techniczne (rekomendowane przez Ministra Infrastruktury)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WT-1 Kruszywa 2008. Kruszywa do mieszanek mineralno-asfaltowych i powierzchniowych utrwaleń na drogach publicznych, Warszawa 2008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WT-2 Nawierzchnie asfaltowe 2008. Nawierzchnie asfaltowe na drogach publicznych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WT-2 2010 Mieszanki mineralno – asfaltowe Wymagania techniczne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WT-3 Emulsje asfaltowe 2009. Kationowe emulsje asfaltowe na drogach publicznych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F75FEE">
        <w:rPr>
          <w:rFonts w:ascii="Arial" w:hAnsi="Arial" w:cs="Arial"/>
          <w:b/>
        </w:rPr>
        <w:t>10.4.</w:t>
      </w:r>
      <w:r w:rsidRPr="00E10B94">
        <w:rPr>
          <w:rFonts w:ascii="Arial" w:hAnsi="Arial" w:cs="Arial"/>
        </w:rPr>
        <w:t xml:space="preserve"> Inne dokumenty</w:t>
      </w:r>
      <w:r w:rsidR="00F75FEE">
        <w:rPr>
          <w:rFonts w:ascii="Arial" w:hAnsi="Arial" w:cs="Arial"/>
        </w:rPr>
        <w:t>.</w:t>
      </w:r>
    </w:p>
    <w:p w:rsidR="0065609C" w:rsidRPr="00E10B94" w:rsidRDefault="0065609C" w:rsidP="00E10B94">
      <w:pPr>
        <w:jc w:val="both"/>
        <w:rPr>
          <w:rFonts w:ascii="Arial" w:hAnsi="Arial" w:cs="Arial"/>
        </w:rPr>
      </w:pPr>
      <w:r w:rsidRPr="00E10B94">
        <w:rPr>
          <w:rFonts w:ascii="Arial" w:hAnsi="Arial" w:cs="Arial"/>
        </w:rPr>
        <w:t>Katalog typowych konstrukcji nawierzchni podatnych i półsztywnych. Generalna Dyrekcja Dróg Publicznych – Instytut Badawczy Dróg i Mostów, Warszawa 1997</w:t>
      </w:r>
      <w:r w:rsidR="00F75FEE">
        <w:rPr>
          <w:rFonts w:ascii="Arial" w:hAnsi="Arial" w:cs="Arial"/>
        </w:rPr>
        <w:t>.</w:t>
      </w:r>
    </w:p>
    <w:p w:rsidR="00D74DDF" w:rsidRPr="00E10B94" w:rsidRDefault="00D74DDF" w:rsidP="00E10B94">
      <w:pPr>
        <w:jc w:val="both"/>
        <w:rPr>
          <w:rFonts w:ascii="Arial" w:hAnsi="Arial" w:cs="Arial"/>
        </w:rPr>
      </w:pPr>
    </w:p>
    <w:sectPr w:rsidR="00D74DDF" w:rsidRPr="00E10B94" w:rsidSect="00A54BB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3DD" w:rsidRDefault="00C633DD" w:rsidP="002E4614">
      <w:pPr>
        <w:spacing w:after="0" w:line="240" w:lineRule="auto"/>
      </w:pPr>
      <w:r>
        <w:separator/>
      </w:r>
    </w:p>
  </w:endnote>
  <w:endnote w:type="continuationSeparator" w:id="0">
    <w:p w:rsidR="00C633DD" w:rsidRDefault="00C633DD" w:rsidP="002E4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97438"/>
      <w:docPartObj>
        <w:docPartGallery w:val="Page Numbers (Bottom of Page)"/>
        <w:docPartUnique/>
      </w:docPartObj>
    </w:sdtPr>
    <w:sdtEndPr/>
    <w:sdtContent>
      <w:p w:rsidR="00BA28B2" w:rsidRDefault="0046726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3B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A28B2" w:rsidRDefault="00BA28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3DD" w:rsidRDefault="00C633DD" w:rsidP="002E4614">
      <w:pPr>
        <w:spacing w:after="0" w:line="240" w:lineRule="auto"/>
      </w:pPr>
      <w:r>
        <w:separator/>
      </w:r>
    </w:p>
  </w:footnote>
  <w:footnote w:type="continuationSeparator" w:id="0">
    <w:p w:rsidR="00C633DD" w:rsidRDefault="00C633DD" w:rsidP="002E46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5609C"/>
    <w:rsid w:val="00002F37"/>
    <w:rsid w:val="00037D89"/>
    <w:rsid w:val="00053844"/>
    <w:rsid w:val="00111E8D"/>
    <w:rsid w:val="00121A14"/>
    <w:rsid w:val="00232713"/>
    <w:rsid w:val="00246309"/>
    <w:rsid w:val="0025471F"/>
    <w:rsid w:val="002D76BA"/>
    <w:rsid w:val="002E4614"/>
    <w:rsid w:val="003304C6"/>
    <w:rsid w:val="00397A86"/>
    <w:rsid w:val="00424966"/>
    <w:rsid w:val="004577DB"/>
    <w:rsid w:val="0046726D"/>
    <w:rsid w:val="004739A3"/>
    <w:rsid w:val="00633BE6"/>
    <w:rsid w:val="0065609C"/>
    <w:rsid w:val="007E6502"/>
    <w:rsid w:val="00901636"/>
    <w:rsid w:val="0096351F"/>
    <w:rsid w:val="009D0628"/>
    <w:rsid w:val="00A54BBD"/>
    <w:rsid w:val="00BA28B2"/>
    <w:rsid w:val="00BA7433"/>
    <w:rsid w:val="00C633DD"/>
    <w:rsid w:val="00CF0F34"/>
    <w:rsid w:val="00D045B4"/>
    <w:rsid w:val="00D352B5"/>
    <w:rsid w:val="00D4231D"/>
    <w:rsid w:val="00D72AD8"/>
    <w:rsid w:val="00D74DDF"/>
    <w:rsid w:val="00E0189A"/>
    <w:rsid w:val="00E10B94"/>
    <w:rsid w:val="00F121E9"/>
    <w:rsid w:val="00F35C1F"/>
    <w:rsid w:val="00F5519E"/>
    <w:rsid w:val="00F75FEE"/>
    <w:rsid w:val="00FC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5F7E463-43C8-4E04-8783-B25B8ADA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BBD"/>
  </w:style>
  <w:style w:type="paragraph" w:styleId="Nagwek7">
    <w:name w:val="heading 7"/>
    <w:basedOn w:val="Normalny"/>
    <w:next w:val="Normalny"/>
    <w:link w:val="Nagwek7Znak"/>
    <w:qFormat/>
    <w:rsid w:val="0065609C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65609C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2E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E4614"/>
  </w:style>
  <w:style w:type="paragraph" w:styleId="Stopka">
    <w:name w:val="footer"/>
    <w:basedOn w:val="Normalny"/>
    <w:link w:val="StopkaZnak"/>
    <w:uiPriority w:val="99"/>
    <w:unhideWhenUsed/>
    <w:rsid w:val="002E4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4614"/>
  </w:style>
  <w:style w:type="paragraph" w:styleId="Tekstdymka">
    <w:name w:val="Balloon Text"/>
    <w:basedOn w:val="Normalny"/>
    <w:link w:val="TekstdymkaZnak"/>
    <w:uiPriority w:val="99"/>
    <w:semiHidden/>
    <w:unhideWhenUsed/>
    <w:rsid w:val="00F35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C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5723</Words>
  <Characters>34340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24</cp:revision>
  <cp:lastPrinted>2015-04-02T15:45:00Z</cp:lastPrinted>
  <dcterms:created xsi:type="dcterms:W3CDTF">2013-04-18T07:24:00Z</dcterms:created>
  <dcterms:modified xsi:type="dcterms:W3CDTF">2015-04-04T15:09:00Z</dcterms:modified>
</cp:coreProperties>
</file>